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29" w:rsidRDefault="00931B29">
      <w:pPr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D58C1" w:rsidRDefault="008318FD" w:rsidP="00047F91">
      <w:pPr>
        <w:contextualSpacing w:val="0"/>
        <w:jc w:val="center"/>
        <w:rPr>
          <w:rFonts w:eastAsia="Times New Roman"/>
          <w:b/>
        </w:rPr>
      </w:pPr>
      <w:r>
        <w:rPr>
          <w:rFonts w:eastAsia="Times New Roman"/>
          <w:b/>
          <w:noProof/>
          <w:lang w:val="es-AR"/>
        </w:rPr>
        <w:drawing>
          <wp:inline distT="0" distB="0" distL="0" distR="0">
            <wp:extent cx="5733415" cy="708801"/>
            <wp:effectExtent l="0" t="0" r="635" b="0"/>
            <wp:docPr id="4" name="Imagen 4" descr="C:\Users\Gerardo Bongiovanni\Downloads\Encabezado Informes CIS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rardo Bongiovanni\Downloads\Encabezado Informes CISE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70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E97" w:rsidRDefault="00D32E97" w:rsidP="00D32E97">
      <w:pPr>
        <w:contextualSpacing w:val="0"/>
        <w:rPr>
          <w:rFonts w:eastAsia="Times New Roman"/>
          <w:b/>
        </w:rPr>
      </w:pPr>
    </w:p>
    <w:p w:rsidR="00733D5D" w:rsidRPr="00FB3900" w:rsidRDefault="00C12F5B" w:rsidP="00047F91">
      <w:pPr>
        <w:contextualSpacing w:val="0"/>
        <w:jc w:val="center"/>
        <w:rPr>
          <w:rStyle w:val="nfasisintenso"/>
          <w:sz w:val="28"/>
        </w:rPr>
      </w:pPr>
      <w:r w:rsidRPr="00937071">
        <w:rPr>
          <w:rStyle w:val="nfasisintenso"/>
          <w:sz w:val="28"/>
        </w:rPr>
        <w:t>Cada Legislador Provincial C</w:t>
      </w:r>
      <w:r w:rsidR="00047F91" w:rsidRPr="00937071">
        <w:rPr>
          <w:rStyle w:val="nfasisintenso"/>
          <w:sz w:val="28"/>
        </w:rPr>
        <w:t>uesta $</w:t>
      </w:r>
      <w:r w:rsidR="00FB3900" w:rsidRPr="00937071">
        <w:rPr>
          <w:rStyle w:val="nfasisintenso"/>
          <w:sz w:val="28"/>
        </w:rPr>
        <w:t>46</w:t>
      </w:r>
      <w:r w:rsidRPr="00937071">
        <w:rPr>
          <w:rStyle w:val="nfasisintenso"/>
          <w:sz w:val="28"/>
        </w:rPr>
        <w:t xml:space="preserve"> millones al A</w:t>
      </w:r>
      <w:r w:rsidR="00047F91" w:rsidRPr="00937071">
        <w:rPr>
          <w:rStyle w:val="nfasisintenso"/>
          <w:sz w:val="28"/>
        </w:rPr>
        <w:t>ño</w:t>
      </w:r>
    </w:p>
    <w:p w:rsidR="0040691E" w:rsidRPr="008C64ED" w:rsidRDefault="0040691E">
      <w:pPr>
        <w:contextualSpacing w:val="0"/>
        <w:jc w:val="both"/>
        <w:rPr>
          <w:rFonts w:eastAsia="Times New Roman"/>
          <w:highlight w:val="yellow"/>
        </w:rPr>
      </w:pPr>
    </w:p>
    <w:p w:rsidR="00047F91" w:rsidRPr="00F40F0F" w:rsidRDefault="00251641">
      <w:pPr>
        <w:contextualSpacing w:val="0"/>
        <w:jc w:val="both"/>
        <w:rPr>
          <w:rFonts w:eastAsia="Times New Roman"/>
          <w:b/>
          <w:i/>
        </w:rPr>
      </w:pPr>
      <w:bookmarkStart w:id="0" w:name="_gjdgxs" w:colFirst="0" w:colLast="0"/>
      <w:bookmarkEnd w:id="0"/>
      <w:r w:rsidRPr="00F40F0F">
        <w:rPr>
          <w:rFonts w:eastAsia="Times New Roman"/>
          <w:b/>
          <w:i/>
        </w:rPr>
        <w:t>De acuerdo a los datos de lo</w:t>
      </w:r>
      <w:r w:rsidR="00FB3900" w:rsidRPr="00F40F0F">
        <w:rPr>
          <w:rFonts w:eastAsia="Times New Roman"/>
          <w:b/>
          <w:i/>
        </w:rPr>
        <w:t>s Presupuestos Provinciales 2020</w:t>
      </w:r>
      <w:r w:rsidRPr="00F40F0F">
        <w:rPr>
          <w:rFonts w:eastAsia="Times New Roman"/>
          <w:b/>
          <w:i/>
        </w:rPr>
        <w:t>, las p</w:t>
      </w:r>
      <w:r w:rsidR="00BD5E75" w:rsidRPr="00F40F0F">
        <w:rPr>
          <w:rFonts w:eastAsia="Times New Roman"/>
          <w:b/>
          <w:i/>
        </w:rPr>
        <w:t>rovincias gastan en promedio $</w:t>
      </w:r>
      <w:r w:rsidR="00D97D3B" w:rsidRPr="00F40F0F">
        <w:rPr>
          <w:rFonts w:eastAsia="Times New Roman"/>
          <w:b/>
          <w:i/>
        </w:rPr>
        <w:t>46</w:t>
      </w:r>
      <w:r w:rsidRPr="00F40F0F">
        <w:rPr>
          <w:rFonts w:eastAsia="Times New Roman"/>
          <w:b/>
          <w:i/>
        </w:rPr>
        <w:t xml:space="preserve"> </w:t>
      </w:r>
      <w:r w:rsidR="00047F91" w:rsidRPr="00F40F0F">
        <w:rPr>
          <w:rFonts w:eastAsia="Times New Roman"/>
          <w:b/>
          <w:i/>
        </w:rPr>
        <w:t>millones anuales por legislador.</w:t>
      </w:r>
      <w:r w:rsidRPr="00F40F0F">
        <w:rPr>
          <w:rFonts w:eastAsia="Times New Roman"/>
          <w:b/>
          <w:i/>
        </w:rPr>
        <w:t xml:space="preserve"> El mayor desembolso </w:t>
      </w:r>
      <w:r w:rsidR="00A730C5" w:rsidRPr="00F40F0F">
        <w:rPr>
          <w:rFonts w:eastAsia="Times New Roman"/>
          <w:b/>
          <w:i/>
        </w:rPr>
        <w:t>se observa en Tucumán con $</w:t>
      </w:r>
      <w:r w:rsidR="00FB3900" w:rsidRPr="00F40F0F">
        <w:rPr>
          <w:rFonts w:eastAsia="Times New Roman"/>
          <w:b/>
          <w:i/>
        </w:rPr>
        <w:t>134,6</w:t>
      </w:r>
      <w:r w:rsidRPr="00F40F0F">
        <w:rPr>
          <w:rFonts w:eastAsia="Times New Roman"/>
          <w:b/>
          <w:i/>
        </w:rPr>
        <w:t xml:space="preserve"> millones anuales</w:t>
      </w:r>
      <w:r w:rsidR="00BD5E75" w:rsidRPr="00F40F0F">
        <w:rPr>
          <w:rFonts w:eastAsia="Times New Roman"/>
          <w:b/>
          <w:i/>
        </w:rPr>
        <w:t xml:space="preserve"> y el menor</w:t>
      </w:r>
      <w:r w:rsidR="00FB3900" w:rsidRPr="00F40F0F">
        <w:rPr>
          <w:rFonts w:eastAsia="Times New Roman"/>
          <w:b/>
          <w:i/>
        </w:rPr>
        <w:t xml:space="preserve"> en Santiago del Estero con $4,5</w:t>
      </w:r>
      <w:r w:rsidRPr="00F40F0F">
        <w:rPr>
          <w:rFonts w:eastAsia="Times New Roman"/>
          <w:b/>
          <w:i/>
        </w:rPr>
        <w:t xml:space="preserve"> millones. Para el total de provincias el presupuesto </w:t>
      </w:r>
      <w:r w:rsidR="00E0760D" w:rsidRPr="00F40F0F">
        <w:rPr>
          <w:rFonts w:eastAsia="Times New Roman"/>
          <w:b/>
          <w:i/>
        </w:rPr>
        <w:t xml:space="preserve">para </w:t>
      </w:r>
      <w:r w:rsidR="00733D5D" w:rsidRPr="00F40F0F">
        <w:rPr>
          <w:rFonts w:eastAsia="Times New Roman"/>
          <w:b/>
          <w:i/>
        </w:rPr>
        <w:t>mantener la estructura legislativa</w:t>
      </w:r>
      <w:r w:rsidR="00D23AF5" w:rsidRPr="00F40F0F">
        <w:rPr>
          <w:rFonts w:eastAsia="Times New Roman"/>
          <w:b/>
          <w:i/>
        </w:rPr>
        <w:t xml:space="preserve"> asciende a </w:t>
      </w:r>
      <w:r w:rsidR="00D97D3B" w:rsidRPr="00F40F0F">
        <w:rPr>
          <w:rFonts w:eastAsia="Times New Roman"/>
          <w:b/>
          <w:i/>
        </w:rPr>
        <w:t>$55.203</w:t>
      </w:r>
      <w:r w:rsidR="00047F91" w:rsidRPr="00F40F0F">
        <w:rPr>
          <w:rFonts w:eastAsia="Times New Roman"/>
          <w:b/>
          <w:i/>
        </w:rPr>
        <w:t xml:space="preserve"> millones.</w:t>
      </w:r>
    </w:p>
    <w:p w:rsidR="00931B29" w:rsidRPr="00B9305D" w:rsidRDefault="00047F91">
      <w:pPr>
        <w:contextualSpacing w:val="0"/>
        <w:jc w:val="both"/>
        <w:rPr>
          <w:rFonts w:eastAsia="Times New Roman"/>
          <w:highlight w:val="white"/>
        </w:rPr>
      </w:pPr>
      <w:r w:rsidRPr="00B9305D">
        <w:rPr>
          <w:rFonts w:eastAsia="Times New Roman"/>
          <w:highlight w:val="white"/>
        </w:rPr>
        <w:t xml:space="preserve"> </w:t>
      </w:r>
    </w:p>
    <w:p w:rsidR="00931B29" w:rsidRPr="00B9305D" w:rsidRDefault="00047F91">
      <w:pPr>
        <w:contextualSpacing w:val="0"/>
        <w:jc w:val="both"/>
        <w:rPr>
          <w:rFonts w:eastAsia="Times New Roman"/>
        </w:rPr>
      </w:pPr>
      <w:r w:rsidRPr="00B9305D">
        <w:rPr>
          <w:rFonts w:eastAsia="Times New Roman"/>
          <w:highlight w:val="white"/>
        </w:rPr>
        <w:t xml:space="preserve">Este </w:t>
      </w:r>
      <w:r w:rsidR="00251641" w:rsidRPr="00937071">
        <w:rPr>
          <w:rFonts w:eastAsia="Times New Roman"/>
        </w:rPr>
        <w:t xml:space="preserve">informe tiene </w:t>
      </w:r>
      <w:r w:rsidRPr="00937071">
        <w:rPr>
          <w:rFonts w:eastAsia="Times New Roman"/>
        </w:rPr>
        <w:t>por objeto conocer cuánto gastan las provincias en el funcionamiento de</w:t>
      </w:r>
      <w:r w:rsidR="00251641" w:rsidRPr="00937071">
        <w:rPr>
          <w:rFonts w:eastAsia="Times New Roman"/>
        </w:rPr>
        <w:t xml:space="preserve"> sus legislaturas. Para ello, se relevó el </w:t>
      </w:r>
      <w:r w:rsidRPr="00937071">
        <w:rPr>
          <w:rFonts w:eastAsia="Times New Roman"/>
        </w:rPr>
        <w:t xml:space="preserve">importe </w:t>
      </w:r>
      <w:r w:rsidR="00251641" w:rsidRPr="00937071">
        <w:rPr>
          <w:rFonts w:eastAsia="Times New Roman"/>
        </w:rPr>
        <w:t xml:space="preserve">destinado al Poder Legislativo según </w:t>
      </w:r>
      <w:r w:rsidR="00910D0C" w:rsidRPr="00937071">
        <w:rPr>
          <w:rFonts w:eastAsia="Times New Roman"/>
        </w:rPr>
        <w:t xml:space="preserve">los </w:t>
      </w:r>
      <w:r w:rsidR="00FB3900" w:rsidRPr="00937071">
        <w:rPr>
          <w:rFonts w:eastAsia="Times New Roman"/>
        </w:rPr>
        <w:t>Presupuestos Provinciales 2020</w:t>
      </w:r>
      <w:r w:rsidR="004844C3" w:rsidRPr="00937071">
        <w:rPr>
          <w:rStyle w:val="Refdenotaalpie"/>
          <w:rFonts w:eastAsia="Times New Roman"/>
        </w:rPr>
        <w:footnoteReference w:id="1"/>
      </w:r>
      <w:r w:rsidR="00251641" w:rsidRPr="00937071">
        <w:rPr>
          <w:rFonts w:eastAsia="Times New Roman"/>
        </w:rPr>
        <w:t xml:space="preserve">, </w:t>
      </w:r>
      <w:r w:rsidR="00251641" w:rsidRPr="00B9305D">
        <w:rPr>
          <w:rFonts w:eastAsia="Times New Roman"/>
          <w:highlight w:val="white"/>
        </w:rPr>
        <w:t xml:space="preserve">para luego </w:t>
      </w:r>
      <w:r w:rsidR="00251641" w:rsidRPr="00B9305D">
        <w:rPr>
          <w:rFonts w:eastAsia="Times New Roman"/>
        </w:rPr>
        <w:t>vincular este dato con la cantidad de legisladores, tanto diputados como senadores, que tiene cada una de</w:t>
      </w:r>
      <w:r w:rsidR="00910D0C" w:rsidRPr="00B9305D">
        <w:rPr>
          <w:rFonts w:eastAsia="Times New Roman"/>
        </w:rPr>
        <w:t xml:space="preserve"> las 24 jurisdicciones del país</w:t>
      </w:r>
      <w:r w:rsidR="005B69E6" w:rsidRPr="00B9305D">
        <w:rPr>
          <w:rFonts w:eastAsia="Times New Roman"/>
        </w:rPr>
        <w:t xml:space="preserve"> incluida</w:t>
      </w:r>
      <w:r w:rsidR="00251641" w:rsidRPr="00B9305D">
        <w:rPr>
          <w:rFonts w:eastAsia="Times New Roman"/>
        </w:rPr>
        <w:t xml:space="preserve"> la Ciudad A</w:t>
      </w:r>
      <w:r w:rsidR="008C64ED" w:rsidRPr="00B9305D">
        <w:rPr>
          <w:rFonts w:eastAsia="Times New Roman"/>
        </w:rPr>
        <w:t>utónoma de Buenos Aires (CABA) y obtener de este modo cuál es e</w:t>
      </w:r>
      <w:r w:rsidR="00056593" w:rsidRPr="00B9305D">
        <w:rPr>
          <w:rFonts w:eastAsia="Times New Roman"/>
        </w:rPr>
        <w:t>l costo por legislador en cada una</w:t>
      </w:r>
      <w:r w:rsidR="008C64ED" w:rsidRPr="00B9305D">
        <w:rPr>
          <w:rFonts w:eastAsia="Times New Roman"/>
        </w:rPr>
        <w:t>.</w:t>
      </w:r>
    </w:p>
    <w:p w:rsidR="008C64ED" w:rsidRPr="00B9305D" w:rsidRDefault="008C64ED">
      <w:pPr>
        <w:contextualSpacing w:val="0"/>
        <w:jc w:val="both"/>
        <w:rPr>
          <w:rFonts w:eastAsia="Times New Roman"/>
        </w:rPr>
      </w:pPr>
    </w:p>
    <w:p w:rsidR="008C64ED" w:rsidRPr="00937071" w:rsidRDefault="008C64ED" w:rsidP="008C64ED">
      <w:pPr>
        <w:contextualSpacing w:val="0"/>
        <w:jc w:val="both"/>
        <w:rPr>
          <w:rFonts w:eastAsia="Times New Roman"/>
        </w:rPr>
      </w:pPr>
      <w:r w:rsidRPr="00937071">
        <w:rPr>
          <w:rFonts w:eastAsia="Times New Roman"/>
        </w:rPr>
        <w:t xml:space="preserve">Concretamente, de acuerdo a los presupuestos sub-nacionales, </w:t>
      </w:r>
      <w:r w:rsidRPr="006476DD">
        <w:rPr>
          <w:rFonts w:eastAsia="Times New Roman"/>
          <w:b/>
        </w:rPr>
        <w:t>el importe total de los 24 distritos destinado a las legislaturas provinciales para el</w:t>
      </w:r>
      <w:r w:rsidR="000046C4" w:rsidRPr="006476DD">
        <w:rPr>
          <w:rFonts w:eastAsia="Times New Roman"/>
          <w:b/>
        </w:rPr>
        <w:t xml:space="preserve"> a</w:t>
      </w:r>
      <w:r w:rsidR="00AE64E6" w:rsidRPr="006476DD">
        <w:rPr>
          <w:rFonts w:eastAsia="Times New Roman"/>
          <w:b/>
        </w:rPr>
        <w:t>ño en curso asciende a $</w:t>
      </w:r>
      <w:r w:rsidR="00D97D3B" w:rsidRPr="006476DD">
        <w:rPr>
          <w:rFonts w:eastAsia="Times New Roman"/>
          <w:b/>
        </w:rPr>
        <w:t>55.203</w:t>
      </w:r>
      <w:r w:rsidR="00977430" w:rsidRPr="006476DD">
        <w:rPr>
          <w:rFonts w:eastAsia="Times New Roman"/>
          <w:b/>
        </w:rPr>
        <w:t xml:space="preserve"> </w:t>
      </w:r>
      <w:r w:rsidRPr="006476DD">
        <w:rPr>
          <w:rFonts w:eastAsia="Times New Roman"/>
          <w:b/>
        </w:rPr>
        <w:t xml:space="preserve">millones. Si se tiene en cuenta que el total de </w:t>
      </w:r>
      <w:r w:rsidR="00056593" w:rsidRPr="006476DD">
        <w:rPr>
          <w:rFonts w:eastAsia="Times New Roman"/>
          <w:b/>
        </w:rPr>
        <w:t>diputados y senadores es de 1.19</w:t>
      </w:r>
      <w:r w:rsidRPr="006476DD">
        <w:rPr>
          <w:rFonts w:eastAsia="Times New Roman"/>
          <w:b/>
        </w:rPr>
        <w:t xml:space="preserve">9, esto implica que cada uno </w:t>
      </w:r>
      <w:r w:rsidR="00977430" w:rsidRPr="006476DD">
        <w:rPr>
          <w:rFonts w:eastAsia="Times New Roman"/>
          <w:b/>
        </w:rPr>
        <w:t>de ellos tiene un costo de $</w:t>
      </w:r>
      <w:r w:rsidR="00D97D3B" w:rsidRPr="006476DD">
        <w:rPr>
          <w:rFonts w:eastAsia="Times New Roman"/>
          <w:b/>
        </w:rPr>
        <w:t>46</w:t>
      </w:r>
      <w:r w:rsidRPr="006476DD">
        <w:rPr>
          <w:rFonts w:eastAsia="Times New Roman"/>
          <w:b/>
        </w:rPr>
        <w:t xml:space="preserve"> millones al año.</w:t>
      </w:r>
      <w:r w:rsidRPr="00937071">
        <w:rPr>
          <w:rFonts w:eastAsia="Times New Roman"/>
        </w:rPr>
        <w:t xml:space="preserve"> O, en otras p</w:t>
      </w:r>
      <w:r w:rsidR="00977430" w:rsidRPr="00937071">
        <w:rPr>
          <w:rFonts w:eastAsia="Times New Roman"/>
        </w:rPr>
        <w:t xml:space="preserve">alabras, equivalente a </w:t>
      </w:r>
      <w:r w:rsidRPr="00937071">
        <w:rPr>
          <w:rFonts w:eastAsia="Times New Roman"/>
        </w:rPr>
        <w:t>$3</w:t>
      </w:r>
      <w:r w:rsidR="00977430" w:rsidRPr="00937071">
        <w:rPr>
          <w:rFonts w:eastAsia="Times New Roman"/>
        </w:rPr>
        <w:t>,8</w:t>
      </w:r>
      <w:r w:rsidRPr="00937071">
        <w:rPr>
          <w:rFonts w:eastAsia="Times New Roman"/>
        </w:rPr>
        <w:t xml:space="preserve"> millones mensuales.</w:t>
      </w:r>
    </w:p>
    <w:p w:rsidR="008C64ED" w:rsidRPr="00B9305D" w:rsidRDefault="008C64ED" w:rsidP="008C64ED">
      <w:pPr>
        <w:contextualSpacing w:val="0"/>
        <w:jc w:val="both"/>
        <w:rPr>
          <w:rFonts w:eastAsia="Times New Roman"/>
        </w:rPr>
      </w:pPr>
    </w:p>
    <w:p w:rsidR="00440BED" w:rsidRPr="00B9305D" w:rsidRDefault="008C64ED">
      <w:pPr>
        <w:contextualSpacing w:val="0"/>
        <w:jc w:val="both"/>
        <w:rPr>
          <w:rFonts w:eastAsia="Times New Roman"/>
        </w:rPr>
      </w:pPr>
      <w:r w:rsidRPr="00B9305D">
        <w:rPr>
          <w:rFonts w:eastAsia="Times New Roman"/>
        </w:rPr>
        <w:t xml:space="preserve">El resultado por </w:t>
      </w:r>
      <w:r w:rsidRPr="00937071">
        <w:rPr>
          <w:rFonts w:eastAsia="Times New Roman"/>
        </w:rPr>
        <w:t>provincia arroja resultados dispares entre ellas. A</w:t>
      </w:r>
      <w:r w:rsidR="00251641" w:rsidRPr="00937071">
        <w:rPr>
          <w:rFonts w:eastAsia="Times New Roman"/>
        </w:rPr>
        <w:t xml:space="preserve">l tope de la tabla </w:t>
      </w:r>
      <w:r w:rsidR="00047F91" w:rsidRPr="00937071">
        <w:rPr>
          <w:rFonts w:eastAsia="Times New Roman"/>
        </w:rPr>
        <w:t xml:space="preserve">con el costo más alto por </w:t>
      </w:r>
      <w:r w:rsidR="00251641" w:rsidRPr="00937071">
        <w:rPr>
          <w:rFonts w:eastAsia="Times New Roman"/>
        </w:rPr>
        <w:t xml:space="preserve">legislador se halla Tucumán, con </w:t>
      </w:r>
      <w:r w:rsidR="00977430" w:rsidRPr="00937071">
        <w:rPr>
          <w:rFonts w:eastAsia="Times New Roman"/>
        </w:rPr>
        <w:t>$134,6</w:t>
      </w:r>
      <w:r w:rsidR="00251641" w:rsidRPr="00937071">
        <w:rPr>
          <w:rFonts w:eastAsia="Times New Roman"/>
        </w:rPr>
        <w:t xml:space="preserve"> millones anuales, le siguen</w:t>
      </w:r>
      <w:r w:rsidR="00977430" w:rsidRPr="00937071">
        <w:rPr>
          <w:rFonts w:eastAsia="Times New Roman"/>
        </w:rPr>
        <w:t xml:space="preserve"> </w:t>
      </w:r>
      <w:r w:rsidR="00251641" w:rsidRPr="00937071">
        <w:rPr>
          <w:rFonts w:eastAsia="Times New Roman"/>
        </w:rPr>
        <w:t xml:space="preserve"> </w:t>
      </w:r>
      <w:r w:rsidR="00D97D3B">
        <w:rPr>
          <w:rFonts w:eastAsia="Times New Roman"/>
        </w:rPr>
        <w:t>Chaco</w:t>
      </w:r>
      <w:r w:rsidR="00977430" w:rsidRPr="00937071">
        <w:rPr>
          <w:rFonts w:eastAsia="Times New Roman"/>
        </w:rPr>
        <w:t xml:space="preserve"> con $102,9</w:t>
      </w:r>
      <w:r w:rsidR="005A1248" w:rsidRPr="00937071">
        <w:rPr>
          <w:rFonts w:eastAsia="Times New Roman"/>
        </w:rPr>
        <w:t xml:space="preserve"> millones</w:t>
      </w:r>
      <w:r w:rsidR="00D97D3B">
        <w:rPr>
          <w:rFonts w:eastAsia="Times New Roman"/>
        </w:rPr>
        <w:t xml:space="preserve"> y Ciudad de Buenos Aires con $101,2</w:t>
      </w:r>
      <w:r w:rsidR="005A1248" w:rsidRPr="00937071">
        <w:rPr>
          <w:rFonts w:eastAsia="Times New Roman"/>
        </w:rPr>
        <w:t xml:space="preserve">. </w:t>
      </w:r>
      <w:r w:rsidR="00251641" w:rsidRPr="00937071">
        <w:rPr>
          <w:rFonts w:eastAsia="Times New Roman"/>
        </w:rPr>
        <w:t xml:space="preserve">En el otro extremo, es </w:t>
      </w:r>
      <w:r w:rsidR="00056593" w:rsidRPr="00937071">
        <w:rPr>
          <w:rFonts w:eastAsia="Times New Roman"/>
        </w:rPr>
        <w:t xml:space="preserve">decir, las que registran menor </w:t>
      </w:r>
      <w:r w:rsidR="004844C3" w:rsidRPr="00937071">
        <w:rPr>
          <w:rFonts w:eastAsia="Times New Roman"/>
        </w:rPr>
        <w:t>costo</w:t>
      </w:r>
      <w:r w:rsidR="00047F91" w:rsidRPr="00937071">
        <w:rPr>
          <w:rFonts w:eastAsia="Times New Roman"/>
        </w:rPr>
        <w:t xml:space="preserve"> por legislador</w:t>
      </w:r>
      <w:r w:rsidR="004844C3" w:rsidRPr="00937071">
        <w:rPr>
          <w:rFonts w:eastAsia="Times New Roman"/>
        </w:rPr>
        <w:t xml:space="preserve"> </w:t>
      </w:r>
      <w:r w:rsidR="005A1248" w:rsidRPr="00937071">
        <w:rPr>
          <w:rFonts w:eastAsia="Times New Roman"/>
        </w:rPr>
        <w:t>son</w:t>
      </w:r>
      <w:r w:rsidR="00251641" w:rsidRPr="00937071">
        <w:rPr>
          <w:rFonts w:eastAsia="Times New Roman"/>
        </w:rPr>
        <w:t xml:space="preserve"> Santiago del Estero</w:t>
      </w:r>
      <w:r w:rsidR="005A1248" w:rsidRPr="00937071">
        <w:rPr>
          <w:rFonts w:eastAsia="Times New Roman"/>
        </w:rPr>
        <w:t xml:space="preserve"> y S</w:t>
      </w:r>
      <w:r w:rsidR="00571150" w:rsidRPr="00937071">
        <w:rPr>
          <w:rFonts w:eastAsia="Times New Roman"/>
        </w:rPr>
        <w:t>an Luis, con erogaciones de $</w:t>
      </w:r>
      <w:r w:rsidR="00977430" w:rsidRPr="00937071">
        <w:rPr>
          <w:rFonts w:eastAsia="Times New Roman"/>
        </w:rPr>
        <w:t>4,5 y 8,3</w:t>
      </w:r>
      <w:r w:rsidR="00251641" w:rsidRPr="00937071">
        <w:rPr>
          <w:rFonts w:eastAsia="Times New Roman"/>
        </w:rPr>
        <w:t xml:space="preserve"> millon</w:t>
      </w:r>
      <w:r w:rsidR="005A1248" w:rsidRPr="00937071">
        <w:rPr>
          <w:rFonts w:eastAsia="Times New Roman"/>
        </w:rPr>
        <w:t xml:space="preserve">es </w:t>
      </w:r>
      <w:r w:rsidR="008E1FD5" w:rsidRPr="00937071">
        <w:rPr>
          <w:rFonts w:eastAsia="Times New Roman"/>
        </w:rPr>
        <w:t xml:space="preserve">anuales </w:t>
      </w:r>
      <w:r w:rsidR="005A1248" w:rsidRPr="00B9305D">
        <w:rPr>
          <w:rFonts w:eastAsia="Times New Roman"/>
        </w:rPr>
        <w:t>respectivamente</w:t>
      </w:r>
      <w:r w:rsidR="00FB46D1" w:rsidRPr="00B9305D">
        <w:rPr>
          <w:rFonts w:eastAsia="Times New Roman"/>
        </w:rPr>
        <w:t xml:space="preserve">. </w:t>
      </w:r>
    </w:p>
    <w:p w:rsidR="00440BED" w:rsidRPr="00B9305D" w:rsidRDefault="00440BED">
      <w:pPr>
        <w:contextualSpacing w:val="0"/>
        <w:jc w:val="both"/>
        <w:rPr>
          <w:rFonts w:eastAsia="Times New Roman"/>
        </w:rPr>
      </w:pPr>
    </w:p>
    <w:p w:rsidR="00F27FDB" w:rsidRPr="00B9305D" w:rsidRDefault="00A730C5">
      <w:pPr>
        <w:contextualSpacing w:val="0"/>
        <w:jc w:val="both"/>
        <w:rPr>
          <w:rFonts w:eastAsia="Times New Roman"/>
        </w:rPr>
      </w:pPr>
      <w:r w:rsidRPr="007A434D">
        <w:rPr>
          <w:rFonts w:eastAsia="Times New Roman"/>
        </w:rPr>
        <w:t xml:space="preserve">Un </w:t>
      </w:r>
      <w:r w:rsidR="008C64ED" w:rsidRPr="007A434D">
        <w:rPr>
          <w:rFonts w:eastAsia="Times New Roman"/>
        </w:rPr>
        <w:t xml:space="preserve">legislador tucumano </w:t>
      </w:r>
      <w:r w:rsidR="00480E33" w:rsidRPr="007A434D">
        <w:rPr>
          <w:rFonts w:eastAsia="Times New Roman"/>
        </w:rPr>
        <w:t>cuesta</w:t>
      </w:r>
      <w:r w:rsidR="00021AB6" w:rsidRPr="007A434D">
        <w:rPr>
          <w:rFonts w:eastAsia="Times New Roman"/>
        </w:rPr>
        <w:t xml:space="preserve"> </w:t>
      </w:r>
      <w:r w:rsidR="00977430" w:rsidRPr="007A434D">
        <w:rPr>
          <w:rFonts w:eastAsia="Times New Roman"/>
        </w:rPr>
        <w:t>siete</w:t>
      </w:r>
      <w:r w:rsidR="00021AB6" w:rsidRPr="007A434D">
        <w:rPr>
          <w:rFonts w:eastAsia="Times New Roman"/>
        </w:rPr>
        <w:t xml:space="preserve"> ve</w:t>
      </w:r>
      <w:r w:rsidR="00546809" w:rsidRPr="007A434D">
        <w:rPr>
          <w:rFonts w:eastAsia="Times New Roman"/>
        </w:rPr>
        <w:t>ces más que un legislador jujeñ</w:t>
      </w:r>
      <w:r w:rsidR="00157FE1" w:rsidRPr="007A434D">
        <w:rPr>
          <w:rFonts w:eastAsia="Times New Roman"/>
        </w:rPr>
        <w:t>o, u</w:t>
      </w:r>
      <w:r w:rsidR="00021AB6" w:rsidRPr="007A434D">
        <w:rPr>
          <w:rFonts w:eastAsia="Times New Roman"/>
        </w:rPr>
        <w:t>na diferencia considerable teniendo en cuenta que</w:t>
      </w:r>
      <w:r w:rsidR="00480E33" w:rsidRPr="007A434D">
        <w:rPr>
          <w:rFonts w:eastAsia="Times New Roman"/>
        </w:rPr>
        <w:t xml:space="preserve"> dichas jurisdicciones</w:t>
      </w:r>
      <w:r w:rsidR="00021AB6" w:rsidRPr="007A434D">
        <w:rPr>
          <w:rFonts w:eastAsia="Times New Roman"/>
        </w:rPr>
        <w:t xml:space="preserve"> poseen simi</w:t>
      </w:r>
      <w:r w:rsidR="00EB269F" w:rsidRPr="007A434D">
        <w:rPr>
          <w:rFonts w:eastAsia="Times New Roman"/>
        </w:rPr>
        <w:t>lares cantidades de legisladores</w:t>
      </w:r>
      <w:r w:rsidR="0053613C" w:rsidRPr="007A434D">
        <w:rPr>
          <w:rFonts w:eastAsia="Times New Roman"/>
        </w:rPr>
        <w:t>.</w:t>
      </w:r>
      <w:r w:rsidR="00157FE1" w:rsidRPr="007A434D">
        <w:rPr>
          <w:rFonts w:eastAsia="Times New Roman"/>
        </w:rPr>
        <w:t xml:space="preserve"> </w:t>
      </w:r>
      <w:r w:rsidR="00021AB6" w:rsidRPr="007A434D">
        <w:rPr>
          <w:rFonts w:eastAsia="Times New Roman"/>
        </w:rPr>
        <w:t>Otro contraste important</w:t>
      </w:r>
      <w:r w:rsidR="00480E33" w:rsidRPr="007A434D">
        <w:rPr>
          <w:rFonts w:eastAsia="Times New Roman"/>
        </w:rPr>
        <w:t>e se da entre las pro</w:t>
      </w:r>
      <w:r w:rsidR="00E64F8B">
        <w:rPr>
          <w:rFonts w:eastAsia="Times New Roman"/>
        </w:rPr>
        <w:t>vincias de Catamarca y San Luis, en este caso</w:t>
      </w:r>
      <w:r w:rsidRPr="007A434D">
        <w:rPr>
          <w:rFonts w:eastAsia="Times New Roman"/>
        </w:rPr>
        <w:t>,</w:t>
      </w:r>
      <w:r w:rsidR="00977430" w:rsidRPr="007A434D">
        <w:rPr>
          <w:rFonts w:eastAsia="Times New Roman"/>
        </w:rPr>
        <w:t xml:space="preserve"> la primera </w:t>
      </w:r>
      <w:r w:rsidR="00977430" w:rsidRPr="00695466">
        <w:rPr>
          <w:rFonts w:eastAsia="Times New Roman"/>
        </w:rPr>
        <w:t>tri</w:t>
      </w:r>
      <w:r w:rsidR="00480E33" w:rsidRPr="00695466">
        <w:rPr>
          <w:rFonts w:eastAsia="Times New Roman"/>
        </w:rPr>
        <w:t>plica</w:t>
      </w:r>
      <w:r w:rsidR="006273E4" w:rsidRPr="00695466">
        <w:rPr>
          <w:rFonts w:eastAsia="Times New Roman"/>
        </w:rPr>
        <w:t xml:space="preserve"> (aún con datos del Presupuesto 2019)</w:t>
      </w:r>
      <w:r w:rsidR="00480E33" w:rsidRPr="007A434D">
        <w:rPr>
          <w:rFonts w:eastAsia="Times New Roman"/>
        </w:rPr>
        <w:t xml:space="preserve"> el gasto por legislador de la segunda. Una mayor disparidad se da</w:t>
      </w:r>
      <w:r w:rsidR="00F57B96" w:rsidRPr="007A434D">
        <w:rPr>
          <w:rFonts w:eastAsia="Times New Roman"/>
        </w:rPr>
        <w:t xml:space="preserve"> entre las provincias de Chaco y Santiago del Estero, cuyos </w:t>
      </w:r>
      <w:r w:rsidR="00977430" w:rsidRPr="007A434D">
        <w:rPr>
          <w:rFonts w:eastAsia="Times New Roman"/>
        </w:rPr>
        <w:t>gastos por legislador son de $102,9</w:t>
      </w:r>
      <w:r w:rsidR="00571150" w:rsidRPr="007A434D">
        <w:rPr>
          <w:rFonts w:eastAsia="Times New Roman"/>
        </w:rPr>
        <w:t xml:space="preserve"> y $4,5</w:t>
      </w:r>
      <w:r w:rsidR="00F57B96" w:rsidRPr="007A434D">
        <w:rPr>
          <w:rFonts w:eastAsia="Times New Roman"/>
        </w:rPr>
        <w:t xml:space="preserve"> mil</w:t>
      </w:r>
      <w:r w:rsidR="00E35EB7" w:rsidRPr="007A434D">
        <w:rPr>
          <w:rFonts w:eastAsia="Times New Roman"/>
        </w:rPr>
        <w:t>lones respectivamente, es decir</w:t>
      </w:r>
      <w:r w:rsidR="00E64F8B">
        <w:rPr>
          <w:rFonts w:eastAsia="Times New Roman"/>
        </w:rPr>
        <w:t>,</w:t>
      </w:r>
      <w:r w:rsidR="00F57B96" w:rsidRPr="007A434D">
        <w:rPr>
          <w:rFonts w:eastAsia="Times New Roman"/>
        </w:rPr>
        <w:t xml:space="preserve"> que</w:t>
      </w:r>
      <w:r w:rsidR="00E35EB7" w:rsidRPr="007A434D">
        <w:rPr>
          <w:rFonts w:eastAsia="Times New Roman"/>
        </w:rPr>
        <w:t xml:space="preserve"> </w:t>
      </w:r>
      <w:r w:rsidR="008E1FD5" w:rsidRPr="007A434D">
        <w:rPr>
          <w:rFonts w:eastAsia="Times New Roman"/>
        </w:rPr>
        <w:t xml:space="preserve">el costo </w:t>
      </w:r>
      <w:r w:rsidR="00F57B96" w:rsidRPr="007A434D">
        <w:rPr>
          <w:rFonts w:eastAsia="Times New Roman"/>
        </w:rPr>
        <w:t xml:space="preserve">en la provincia chaqueña </w:t>
      </w:r>
      <w:r w:rsidR="00571150" w:rsidRPr="007A434D">
        <w:rPr>
          <w:rFonts w:eastAsia="Times New Roman"/>
        </w:rPr>
        <w:t xml:space="preserve">es </w:t>
      </w:r>
      <w:r w:rsidR="00937071" w:rsidRPr="007A434D">
        <w:rPr>
          <w:rFonts w:eastAsia="Times New Roman"/>
        </w:rPr>
        <w:t>casi 23</w:t>
      </w:r>
      <w:r w:rsidR="00E35EB7" w:rsidRPr="007A434D">
        <w:rPr>
          <w:rFonts w:eastAsia="Times New Roman"/>
        </w:rPr>
        <w:t xml:space="preserve"> </w:t>
      </w:r>
      <w:r w:rsidR="008E1FD5" w:rsidRPr="007A434D">
        <w:rPr>
          <w:rFonts w:eastAsia="Times New Roman"/>
        </w:rPr>
        <w:t xml:space="preserve">veces el de </w:t>
      </w:r>
      <w:r w:rsidR="00F57B96" w:rsidRPr="007A434D">
        <w:rPr>
          <w:rFonts w:eastAsia="Times New Roman"/>
        </w:rPr>
        <w:t>la santiagueña.</w:t>
      </w:r>
    </w:p>
    <w:p w:rsidR="004844C3" w:rsidRDefault="004844C3">
      <w:pPr>
        <w:contextualSpacing w:val="0"/>
        <w:jc w:val="both"/>
      </w:pPr>
    </w:p>
    <w:p w:rsidR="008318FD" w:rsidRDefault="008318FD">
      <w:pPr>
        <w:contextualSpacing w:val="0"/>
        <w:jc w:val="both"/>
      </w:pPr>
    </w:p>
    <w:p w:rsidR="008318FD" w:rsidRDefault="008318FD">
      <w:pPr>
        <w:contextualSpacing w:val="0"/>
        <w:jc w:val="both"/>
      </w:pPr>
    </w:p>
    <w:p w:rsidR="00D32E97" w:rsidRDefault="00D32E97">
      <w:pPr>
        <w:contextualSpacing w:val="0"/>
        <w:jc w:val="both"/>
      </w:pPr>
    </w:p>
    <w:p w:rsidR="00D23AF5" w:rsidRDefault="00D23AF5">
      <w:pPr>
        <w:contextualSpacing w:val="0"/>
        <w:jc w:val="both"/>
      </w:pPr>
    </w:p>
    <w:p w:rsidR="00931B29" w:rsidRPr="007A434D" w:rsidRDefault="00C12F5B" w:rsidP="00047F91">
      <w:pPr>
        <w:spacing w:line="240" w:lineRule="auto"/>
        <w:contextualSpacing w:val="0"/>
        <w:jc w:val="center"/>
        <w:rPr>
          <w:rFonts w:eastAsia="Times New Roman"/>
          <w:b/>
        </w:rPr>
      </w:pPr>
      <w:r w:rsidRPr="007A434D">
        <w:rPr>
          <w:rFonts w:eastAsia="Times New Roman"/>
          <w:b/>
        </w:rPr>
        <w:t xml:space="preserve">Costo </w:t>
      </w:r>
      <w:r w:rsidR="00910D0C" w:rsidRPr="007A434D">
        <w:rPr>
          <w:rFonts w:eastAsia="Times New Roman"/>
          <w:b/>
        </w:rPr>
        <w:t>Anual</w:t>
      </w:r>
      <w:r w:rsidR="00251641" w:rsidRPr="007A434D">
        <w:rPr>
          <w:rFonts w:eastAsia="Times New Roman"/>
          <w:b/>
        </w:rPr>
        <w:t xml:space="preserve"> por Legislador</w:t>
      </w:r>
      <w:r w:rsidR="00AC1D56" w:rsidRPr="007A434D">
        <w:rPr>
          <w:rFonts w:eastAsia="Times New Roman"/>
          <w:b/>
        </w:rPr>
        <w:t xml:space="preserve"> Provincial</w:t>
      </w:r>
    </w:p>
    <w:p w:rsidR="00931B29" w:rsidRPr="008C64ED" w:rsidRDefault="00F2691C" w:rsidP="00047F91">
      <w:pPr>
        <w:spacing w:line="240" w:lineRule="auto"/>
        <w:contextualSpacing w:val="0"/>
        <w:jc w:val="center"/>
        <w:rPr>
          <w:rFonts w:eastAsia="Times New Roman"/>
          <w:b/>
        </w:rPr>
      </w:pPr>
      <w:r w:rsidRPr="007A434D">
        <w:rPr>
          <w:rFonts w:eastAsia="Times New Roman"/>
          <w:b/>
        </w:rPr>
        <w:t>Presupuesto</w:t>
      </w:r>
      <w:r w:rsidR="000E3854" w:rsidRPr="007A434D">
        <w:rPr>
          <w:rFonts w:eastAsia="Times New Roman"/>
          <w:b/>
        </w:rPr>
        <w:t>s</w:t>
      </w:r>
      <w:r w:rsidR="00571150" w:rsidRPr="007A434D">
        <w:rPr>
          <w:rFonts w:eastAsia="Times New Roman"/>
          <w:b/>
        </w:rPr>
        <w:t xml:space="preserve"> 2020</w:t>
      </w:r>
    </w:p>
    <w:tbl>
      <w:tblPr>
        <w:tblW w:w="7966" w:type="dxa"/>
        <w:jc w:val="center"/>
        <w:tblInd w:w="-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1514"/>
        <w:gridCol w:w="1890"/>
        <w:gridCol w:w="2184"/>
      </w:tblGrid>
      <w:tr w:rsidR="000046C4" w:rsidRPr="000046C4" w:rsidTr="000046C4">
        <w:trPr>
          <w:trHeight w:val="1050"/>
          <w:jc w:val="center"/>
        </w:trPr>
        <w:tc>
          <w:tcPr>
            <w:tcW w:w="2378" w:type="dxa"/>
            <w:shd w:val="clear" w:color="B7B7B7" w:fill="B7B7B7"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Jurisdicción</w:t>
            </w:r>
          </w:p>
        </w:tc>
        <w:tc>
          <w:tcPr>
            <w:tcW w:w="1514" w:type="dxa"/>
            <w:shd w:val="clear" w:color="B7B7B7" w:fill="B7B7B7"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Cantidad</w:t>
            </w: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de</w:t>
            </w: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>Legisladores</w:t>
            </w:r>
          </w:p>
        </w:tc>
        <w:tc>
          <w:tcPr>
            <w:tcW w:w="1890" w:type="dxa"/>
            <w:shd w:val="clear" w:color="B7B7B7" w:fill="B7B7B7"/>
            <w:vAlign w:val="center"/>
            <w:hideMark/>
          </w:tcPr>
          <w:p w:rsidR="00056593" w:rsidRDefault="00056593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056593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esupuesto</w:t>
            </w:r>
            <w:r w:rsidR="00AD050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2020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Poder </w:t>
            </w:r>
          </w:p>
          <w:p w:rsidR="00056593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Legislativo</w:t>
            </w:r>
          </w:p>
          <w:p w:rsidR="000046C4" w:rsidRPr="000046C4" w:rsidRDefault="00056593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($)</w:t>
            </w:r>
            <w:r w:rsid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2184" w:type="dxa"/>
            <w:shd w:val="clear" w:color="B7B7B7" w:fill="B7B7B7"/>
            <w:vAlign w:val="center"/>
            <w:hideMark/>
          </w:tcPr>
          <w:p w:rsid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Pres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upuesto</w:t>
            </w:r>
          </w:p>
          <w:p w:rsid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Anual por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br/>
              <w:t xml:space="preserve">Legislador </w:t>
            </w:r>
          </w:p>
          <w:p w:rsidR="00056593" w:rsidRPr="000046C4" w:rsidRDefault="00056593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($)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 xml:space="preserve">Tucumán 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6.594.800.000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571150">
              <w:rPr>
                <w:rFonts w:eastAsia="Times New Roman"/>
                <w:color w:val="000000"/>
                <w:sz w:val="20"/>
                <w:szCs w:val="20"/>
              </w:rPr>
              <w:t>134.587.755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Chaco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3.292.110.000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102.878.438</w:t>
            </w:r>
          </w:p>
        </w:tc>
      </w:tr>
      <w:tr w:rsidR="00D97D3B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</w:tcPr>
          <w:p w:rsidR="00D97D3B" w:rsidRDefault="00D97D3B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Ciudad de Buenos Aires</w:t>
            </w:r>
          </w:p>
        </w:tc>
        <w:tc>
          <w:tcPr>
            <w:tcW w:w="1514" w:type="dxa"/>
            <w:shd w:val="clear" w:color="FFFFFF" w:fill="FFFFFF"/>
            <w:noWrap/>
            <w:vAlign w:val="center"/>
          </w:tcPr>
          <w:p w:rsidR="00D97D3B" w:rsidRDefault="00D97D3B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90" w:type="dxa"/>
            <w:shd w:val="clear" w:color="FFFFFF" w:fill="FFFFFF"/>
            <w:noWrap/>
            <w:vAlign w:val="center"/>
          </w:tcPr>
          <w:p w:rsidR="00D97D3B" w:rsidRDefault="00D97D3B" w:rsidP="000046C4">
            <w:pPr>
              <w:spacing w:line="240" w:lineRule="auto"/>
              <w:contextualSpacing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6.069.100.448</w:t>
            </w:r>
          </w:p>
        </w:tc>
        <w:tc>
          <w:tcPr>
            <w:tcW w:w="2184" w:type="dxa"/>
            <w:shd w:val="clear" w:color="auto" w:fill="auto"/>
            <w:noWrap/>
            <w:vAlign w:val="center"/>
          </w:tcPr>
          <w:p w:rsidR="00D97D3B" w:rsidRDefault="00D97D3B" w:rsidP="000046C4">
            <w:pPr>
              <w:spacing w:line="240" w:lineRule="auto"/>
              <w:contextualSpacing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101.151.674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Santa Fe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5.478.382.000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79.396.841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Chubut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2.072.148.127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76.746.227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Tierra del Fuego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1.098.961.279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73.264.085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Neuquén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2.401.497.098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68.614.203</w:t>
            </w:r>
          </w:p>
        </w:tc>
      </w:tr>
      <w:tr w:rsidR="00D7215D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</w:tcPr>
          <w:p w:rsidR="00D7215D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Buenos Aires</w:t>
            </w:r>
          </w:p>
        </w:tc>
        <w:tc>
          <w:tcPr>
            <w:tcW w:w="1514" w:type="dxa"/>
            <w:shd w:val="clear" w:color="FFFFFF" w:fill="FFFFFF"/>
            <w:noWrap/>
            <w:vAlign w:val="center"/>
          </w:tcPr>
          <w:p w:rsidR="00D7215D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890" w:type="dxa"/>
            <w:shd w:val="clear" w:color="FFFFFF" w:fill="FFFFFF"/>
            <w:noWrap/>
            <w:vAlign w:val="center"/>
          </w:tcPr>
          <w:p w:rsidR="00D7215D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8.898.939.000</w:t>
            </w:r>
          </w:p>
        </w:tc>
        <w:tc>
          <w:tcPr>
            <w:tcW w:w="2184" w:type="dxa"/>
            <w:shd w:val="clear" w:color="auto" w:fill="auto"/>
            <w:noWrap/>
            <w:vAlign w:val="center"/>
          </w:tcPr>
          <w:p w:rsidR="00D7215D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64.485.065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Corrientes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2.108.637.402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46.858.609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Entre Ríos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1.955.301.000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71150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38.339.235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457834" w:rsidRDefault="00571150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457834">
              <w:rPr>
                <w:color w:val="000000"/>
                <w:sz w:val="20"/>
                <w:szCs w:val="20"/>
              </w:rPr>
              <w:t>Río Negro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457834" w:rsidRDefault="00BF79F1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57834">
              <w:rPr>
                <w:rFonts w:eastAsia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457834" w:rsidRDefault="00BF79F1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457834">
              <w:rPr>
                <w:color w:val="000000"/>
                <w:sz w:val="20"/>
                <w:szCs w:val="20"/>
              </w:rPr>
              <w:t>1.687.047.630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457834" w:rsidRDefault="00BF79F1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457834">
              <w:rPr>
                <w:sz w:val="20"/>
                <w:szCs w:val="20"/>
              </w:rPr>
              <w:t>36.674.948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Santa Cruz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818.251.767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34.093.824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 Pampa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1.006.404.454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33.546.815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 xml:space="preserve">Misiones 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1.274.770.000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31.869.250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La Rioja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1.077.121.063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29.920.030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Formosa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822.548.000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27.418.267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Córdoba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1.888.000.000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457834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26.971.429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San Juan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970.260.000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26.951.667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Catamarca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1.410.761.415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24.750.200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Jujuy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899.767.907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18.745.165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Mendoza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1.559.408.902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18.132.662</w:t>
            </w:r>
          </w:p>
        </w:tc>
      </w:tr>
      <w:tr w:rsidR="00526F37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</w:tcPr>
          <w:p w:rsidR="00526F37" w:rsidRPr="000046C4" w:rsidRDefault="00526F37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Salta</w:t>
            </w:r>
          </w:p>
        </w:tc>
        <w:tc>
          <w:tcPr>
            <w:tcW w:w="1514" w:type="dxa"/>
            <w:shd w:val="clear" w:color="FFFFFF" w:fill="FFFFFF"/>
            <w:noWrap/>
            <w:vAlign w:val="center"/>
          </w:tcPr>
          <w:p w:rsidR="00526F37" w:rsidRPr="000046C4" w:rsidRDefault="00526F37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90" w:type="dxa"/>
            <w:shd w:val="clear" w:color="auto" w:fill="auto"/>
            <w:noWrap/>
            <w:vAlign w:val="center"/>
          </w:tcPr>
          <w:p w:rsidR="00526F37" w:rsidRDefault="00526F37" w:rsidP="000046C4">
            <w:pPr>
              <w:spacing w:line="240" w:lineRule="auto"/>
              <w:contextualSpacing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1.208.933.010</w:t>
            </w:r>
          </w:p>
        </w:tc>
        <w:tc>
          <w:tcPr>
            <w:tcW w:w="2184" w:type="dxa"/>
            <w:shd w:val="clear" w:color="auto" w:fill="auto"/>
            <w:noWrap/>
            <w:vAlign w:val="center"/>
          </w:tcPr>
          <w:p w:rsidR="00526F37" w:rsidRDefault="00526F37" w:rsidP="000046C4">
            <w:pPr>
              <w:spacing w:line="240" w:lineRule="auto"/>
              <w:contextualSpacing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14.565.458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 xml:space="preserve">San Luis 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430.900.084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8.286.540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auto" w:fill="auto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 xml:space="preserve">Santiago del Estero </w:t>
            </w:r>
          </w:p>
        </w:tc>
        <w:tc>
          <w:tcPr>
            <w:tcW w:w="1514" w:type="dxa"/>
            <w:shd w:val="clear" w:color="FFFFFF" w:fill="FFFFFF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90" w:type="dxa"/>
            <w:shd w:val="clear" w:color="FFFFFF" w:fill="FFFFFF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179.653.391</w:t>
            </w:r>
          </w:p>
        </w:tc>
        <w:tc>
          <w:tcPr>
            <w:tcW w:w="2184" w:type="dxa"/>
            <w:shd w:val="clear" w:color="auto" w:fill="auto"/>
            <w:noWrap/>
            <w:vAlign w:val="center"/>
            <w:hideMark/>
          </w:tcPr>
          <w:p w:rsidR="000046C4" w:rsidRPr="000046C4" w:rsidRDefault="00526F37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4.491.335</w:t>
            </w:r>
          </w:p>
        </w:tc>
      </w:tr>
      <w:tr w:rsidR="000046C4" w:rsidRPr="000046C4" w:rsidTr="000046C4">
        <w:trPr>
          <w:trHeight w:val="255"/>
          <w:jc w:val="center"/>
        </w:trPr>
        <w:tc>
          <w:tcPr>
            <w:tcW w:w="2378" w:type="dxa"/>
            <w:shd w:val="clear" w:color="B7B7B7" w:fill="B7B7B7"/>
            <w:noWrap/>
            <w:vAlign w:val="bottom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514" w:type="dxa"/>
            <w:shd w:val="clear" w:color="B7B7B7" w:fill="B7B7B7"/>
            <w:noWrap/>
            <w:vAlign w:val="center"/>
            <w:hideMark/>
          </w:tcPr>
          <w:p w:rsidR="000046C4" w:rsidRPr="000046C4" w:rsidRDefault="000046C4" w:rsidP="000046C4">
            <w:pPr>
              <w:spacing w:line="240" w:lineRule="auto"/>
              <w:contextualSpacing w:val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0046C4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1.199</w:t>
            </w:r>
          </w:p>
        </w:tc>
        <w:tc>
          <w:tcPr>
            <w:tcW w:w="1890" w:type="dxa"/>
            <w:shd w:val="clear" w:color="B7B7B7" w:fill="B7B7B7"/>
            <w:noWrap/>
            <w:vAlign w:val="center"/>
            <w:hideMark/>
          </w:tcPr>
          <w:p w:rsidR="000046C4" w:rsidRPr="000046C4" w:rsidRDefault="00D97D3B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55.203.703.977</w:t>
            </w:r>
          </w:p>
        </w:tc>
        <w:tc>
          <w:tcPr>
            <w:tcW w:w="2184" w:type="dxa"/>
            <w:shd w:val="clear" w:color="B7B7B7" w:fill="B7B7B7"/>
            <w:noWrap/>
            <w:vAlign w:val="center"/>
            <w:hideMark/>
          </w:tcPr>
          <w:p w:rsidR="000046C4" w:rsidRPr="000046C4" w:rsidRDefault="00D97D3B" w:rsidP="000046C4">
            <w:pPr>
              <w:spacing w:line="240" w:lineRule="auto"/>
              <w:contextualSpacing w:val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46.041.455</w:t>
            </w:r>
          </w:p>
        </w:tc>
      </w:tr>
    </w:tbl>
    <w:p w:rsidR="00931B29" w:rsidRPr="00FB46D1" w:rsidRDefault="00D32E97" w:rsidP="00D32E97">
      <w:pPr>
        <w:contextualSpacing w:val="0"/>
        <w:jc w:val="center"/>
        <w:rPr>
          <w:rFonts w:eastAsia="Times New Roman"/>
          <w:sz w:val="16"/>
          <w:szCs w:val="16"/>
        </w:rPr>
      </w:pPr>
      <w:r w:rsidRPr="00FB46D1">
        <w:rPr>
          <w:rFonts w:eastAsia="Times New Roman"/>
          <w:sz w:val="16"/>
          <w:szCs w:val="16"/>
        </w:rPr>
        <w:t>Fuente:</w:t>
      </w:r>
      <w:r w:rsidR="00BF55CB" w:rsidRPr="00FB46D1">
        <w:rPr>
          <w:rFonts w:eastAsia="Times New Roman"/>
          <w:sz w:val="16"/>
          <w:szCs w:val="16"/>
        </w:rPr>
        <w:t xml:space="preserve"> Fu</w:t>
      </w:r>
      <w:r w:rsidR="00FB46D1">
        <w:rPr>
          <w:rFonts w:eastAsia="Times New Roman"/>
          <w:sz w:val="16"/>
          <w:szCs w:val="16"/>
        </w:rPr>
        <w:t>ndación Libertad en base a los Presupuestos P</w:t>
      </w:r>
      <w:r w:rsidR="00BF55CB" w:rsidRPr="00FB46D1">
        <w:rPr>
          <w:rFonts w:eastAsia="Times New Roman"/>
          <w:sz w:val="16"/>
          <w:szCs w:val="16"/>
        </w:rPr>
        <w:t>rovinciales.</w:t>
      </w:r>
    </w:p>
    <w:p w:rsidR="00FB46D1" w:rsidRDefault="00FB46D1" w:rsidP="00FB46D1">
      <w:pPr>
        <w:contextualSpacing w:val="0"/>
        <w:jc w:val="both"/>
        <w:rPr>
          <w:rFonts w:eastAsia="Times New Roman"/>
        </w:rPr>
      </w:pPr>
    </w:p>
    <w:p w:rsidR="00FB46D1" w:rsidRDefault="00FB46D1" w:rsidP="00FB46D1">
      <w:pPr>
        <w:contextualSpacing w:val="0"/>
        <w:jc w:val="both"/>
        <w:rPr>
          <w:rFonts w:eastAsia="Times New Roman"/>
        </w:rPr>
      </w:pPr>
      <w:r w:rsidRPr="003333D0">
        <w:rPr>
          <w:rFonts w:eastAsia="Times New Roman"/>
        </w:rPr>
        <w:t>En relación a las variaciones de los presupuesto</w:t>
      </w:r>
      <w:r w:rsidR="00056593" w:rsidRPr="003333D0">
        <w:rPr>
          <w:rFonts w:eastAsia="Times New Roman"/>
        </w:rPr>
        <w:t>s</w:t>
      </w:r>
      <w:r w:rsidR="00526F37" w:rsidRPr="003333D0">
        <w:rPr>
          <w:rFonts w:eastAsia="Times New Roman"/>
        </w:rPr>
        <w:t xml:space="preserve"> con respecto al de 2019</w:t>
      </w:r>
      <w:r w:rsidRPr="003333D0">
        <w:rPr>
          <w:rFonts w:eastAsia="Times New Roman"/>
        </w:rPr>
        <w:t xml:space="preserve">, se advierte que las jurisdicciones que presentaron mayores incrementos son: </w:t>
      </w:r>
      <w:r w:rsidR="00526F37" w:rsidRPr="003333D0">
        <w:rPr>
          <w:rFonts w:eastAsia="Times New Roman"/>
        </w:rPr>
        <w:t>La Pampa (72,3%), Neuquén (67,2%) y La Rioja (62,2</w:t>
      </w:r>
      <w:r w:rsidRPr="003333D0">
        <w:rPr>
          <w:rFonts w:eastAsia="Times New Roman"/>
        </w:rPr>
        <w:t>%). En el otro ext</w:t>
      </w:r>
      <w:r w:rsidR="00A71AFB" w:rsidRPr="003333D0">
        <w:rPr>
          <w:rFonts w:eastAsia="Times New Roman"/>
        </w:rPr>
        <w:t xml:space="preserve">remo, se encuentran </w:t>
      </w:r>
      <w:r w:rsidR="00526F37" w:rsidRPr="003333D0">
        <w:rPr>
          <w:rFonts w:eastAsia="Times New Roman"/>
        </w:rPr>
        <w:t>Entre Ríos (9,4</w:t>
      </w:r>
      <w:r w:rsidR="00A71AFB" w:rsidRPr="003333D0">
        <w:rPr>
          <w:rFonts w:eastAsia="Times New Roman"/>
        </w:rPr>
        <w:t>%)</w:t>
      </w:r>
      <w:r w:rsidR="00157FE1" w:rsidRPr="003333D0">
        <w:rPr>
          <w:rFonts w:eastAsia="Times New Roman"/>
        </w:rPr>
        <w:t>,</w:t>
      </w:r>
      <w:r w:rsidR="00A71AFB" w:rsidRPr="003333D0">
        <w:rPr>
          <w:rFonts w:eastAsia="Times New Roman"/>
        </w:rPr>
        <w:t xml:space="preserve"> </w:t>
      </w:r>
      <w:r w:rsidRPr="003333D0">
        <w:rPr>
          <w:rFonts w:eastAsia="Times New Roman"/>
        </w:rPr>
        <w:t xml:space="preserve">Santiago del Estero </w:t>
      </w:r>
      <w:r w:rsidR="00526F37" w:rsidRPr="003333D0">
        <w:rPr>
          <w:rFonts w:eastAsia="Times New Roman"/>
        </w:rPr>
        <w:t>(17,7</w:t>
      </w:r>
      <w:r w:rsidRPr="003333D0">
        <w:rPr>
          <w:rFonts w:eastAsia="Times New Roman"/>
        </w:rPr>
        <w:t>%)</w:t>
      </w:r>
      <w:r w:rsidR="00025EF2" w:rsidRPr="003333D0">
        <w:rPr>
          <w:rFonts w:eastAsia="Times New Roman"/>
        </w:rPr>
        <w:t xml:space="preserve"> y Jujuy </w:t>
      </w:r>
      <w:r w:rsidR="00526F37" w:rsidRPr="003333D0">
        <w:rPr>
          <w:rFonts w:eastAsia="Times New Roman"/>
        </w:rPr>
        <w:t>(</w:t>
      </w:r>
      <w:r w:rsidR="00025EF2" w:rsidRPr="003333D0">
        <w:rPr>
          <w:rFonts w:eastAsia="Times New Roman"/>
        </w:rPr>
        <w:t>22,7</w:t>
      </w:r>
      <w:r w:rsidR="00157FE1" w:rsidRPr="003333D0">
        <w:rPr>
          <w:rFonts w:eastAsia="Times New Roman"/>
        </w:rPr>
        <w:t>%)</w:t>
      </w:r>
      <w:r w:rsidR="00E64F8B">
        <w:rPr>
          <w:rFonts w:eastAsia="Times New Roman"/>
        </w:rPr>
        <w:t xml:space="preserve"> con los menores aumentos.</w:t>
      </w:r>
    </w:p>
    <w:p w:rsidR="00FB46D1" w:rsidRPr="000B25A4" w:rsidRDefault="00FB46D1" w:rsidP="00FB46D1">
      <w:pPr>
        <w:contextualSpacing w:val="0"/>
        <w:jc w:val="both"/>
        <w:rPr>
          <w:rFonts w:eastAsia="Times New Roman"/>
        </w:rPr>
      </w:pPr>
    </w:p>
    <w:p w:rsidR="00FB46D1" w:rsidRPr="00056593" w:rsidRDefault="00FB46D1" w:rsidP="00FB46D1">
      <w:pPr>
        <w:contextualSpacing w:val="0"/>
        <w:jc w:val="both"/>
        <w:rPr>
          <w:rFonts w:eastAsia="Times New Roman"/>
          <w:b/>
        </w:rPr>
      </w:pPr>
      <w:r w:rsidRPr="000B25A4">
        <w:rPr>
          <w:rFonts w:eastAsia="Times New Roman"/>
        </w:rPr>
        <w:t xml:space="preserve">Debe tenerse en cuenta que la mayor parte del gasto del Poder Legislativo se destina a personal, no sólo considerando el sueldo de los legisladores, sino también, secretarías, asesores </w:t>
      </w:r>
      <w:r w:rsidRPr="00B9305D">
        <w:rPr>
          <w:rFonts w:eastAsia="Times New Roman"/>
        </w:rPr>
        <w:t xml:space="preserve">y demás empleados permanentes y transitorios. </w:t>
      </w:r>
      <w:r w:rsidRPr="006476DD">
        <w:rPr>
          <w:rFonts w:eastAsia="Times New Roman"/>
          <w:b/>
        </w:rPr>
        <w:t>Para las provincias que se pudo obtener este dato, se observa que la participación promedio del gasto en personal en el total</w:t>
      </w:r>
      <w:r w:rsidR="00437F8B">
        <w:rPr>
          <w:rFonts w:eastAsia="Times New Roman"/>
          <w:b/>
        </w:rPr>
        <w:t xml:space="preserve"> del gasto legislativo es del 81</w:t>
      </w:r>
      <w:r w:rsidRPr="006476DD">
        <w:rPr>
          <w:rFonts w:eastAsia="Times New Roman"/>
          <w:b/>
        </w:rPr>
        <w:t>%.</w:t>
      </w:r>
      <w:r w:rsidRPr="003333D0">
        <w:rPr>
          <w:rFonts w:eastAsia="Times New Roman"/>
        </w:rPr>
        <w:t xml:space="preserve"> En las provincias de </w:t>
      </w:r>
      <w:r w:rsidR="00025EF2" w:rsidRPr="003333D0">
        <w:rPr>
          <w:rFonts w:eastAsia="Times New Roman"/>
        </w:rPr>
        <w:t>Misiones y de Santa Fe</w:t>
      </w:r>
      <w:r w:rsidRPr="003333D0">
        <w:rPr>
          <w:rFonts w:eastAsia="Times New Roman"/>
        </w:rPr>
        <w:t xml:space="preserve"> este porcentaje es del </w:t>
      </w:r>
      <w:r w:rsidR="00025EF2" w:rsidRPr="003333D0">
        <w:rPr>
          <w:rFonts w:eastAsia="Times New Roman"/>
        </w:rPr>
        <w:t>64</w:t>
      </w:r>
      <w:r w:rsidRPr="003333D0">
        <w:rPr>
          <w:rFonts w:eastAsia="Times New Roman"/>
        </w:rPr>
        <w:t xml:space="preserve">% y 65% respectivamente, siendo las dos de menor ratio para las cuales se dispone de información. En el polo opuesto, se encuentran </w:t>
      </w:r>
      <w:r w:rsidR="00025EF2" w:rsidRPr="003333D0">
        <w:rPr>
          <w:rFonts w:eastAsia="Times New Roman"/>
        </w:rPr>
        <w:t>Río Negro (95%), Santa Cruz (93%) y Mendoza (90</w:t>
      </w:r>
      <w:r w:rsidRPr="003333D0">
        <w:rPr>
          <w:rFonts w:eastAsia="Times New Roman"/>
        </w:rPr>
        <w:t>%) donde 9 de cada 10 pesos gastados en sus respectivas legislatur</w:t>
      </w:r>
      <w:r w:rsidR="00E64F8B">
        <w:rPr>
          <w:rFonts w:eastAsia="Times New Roman"/>
        </w:rPr>
        <w:t>as corresponde</w:t>
      </w:r>
      <w:r w:rsidRPr="003333D0">
        <w:rPr>
          <w:rFonts w:eastAsia="Times New Roman"/>
        </w:rPr>
        <w:t xml:space="preserve"> a erogaciones de personal.</w:t>
      </w:r>
    </w:p>
    <w:p w:rsidR="00571150" w:rsidRDefault="00571150" w:rsidP="00FB46D1">
      <w:pPr>
        <w:contextualSpacing w:val="0"/>
        <w:jc w:val="both"/>
        <w:rPr>
          <w:rFonts w:eastAsia="Times New Roman"/>
        </w:rPr>
      </w:pPr>
    </w:p>
    <w:p w:rsidR="00164D15" w:rsidRDefault="00164D15" w:rsidP="00FB46D1">
      <w:pPr>
        <w:contextualSpacing w:val="0"/>
        <w:jc w:val="both"/>
        <w:rPr>
          <w:rFonts w:eastAsia="Times New Roman"/>
        </w:rPr>
      </w:pPr>
      <w:r w:rsidRPr="006476DD">
        <w:rPr>
          <w:rFonts w:eastAsia="Times New Roman"/>
          <w:b/>
        </w:rPr>
        <w:lastRenderedPageBreak/>
        <w:t>En lo que refiere al personal de las legislatur</w:t>
      </w:r>
      <w:r w:rsidR="00E64F8B" w:rsidRPr="006476DD">
        <w:rPr>
          <w:rFonts w:eastAsia="Times New Roman"/>
          <w:b/>
        </w:rPr>
        <w:t xml:space="preserve">as, para las que se pudo acceder a </w:t>
      </w:r>
      <w:r w:rsidRPr="006476DD">
        <w:rPr>
          <w:rFonts w:eastAsia="Times New Roman"/>
          <w:b/>
        </w:rPr>
        <w:t xml:space="preserve"> información, en promedio</w:t>
      </w:r>
      <w:r w:rsidR="00E64F8B" w:rsidRPr="006476DD">
        <w:rPr>
          <w:rFonts w:eastAsia="Times New Roman"/>
          <w:b/>
        </w:rPr>
        <w:t>,</w:t>
      </w:r>
      <w:r w:rsidRPr="006476DD">
        <w:rPr>
          <w:rFonts w:eastAsia="Times New Roman"/>
          <w:b/>
        </w:rPr>
        <w:t xml:space="preserve"> hay </w:t>
      </w:r>
      <w:r w:rsidR="003333D0" w:rsidRPr="006476DD">
        <w:rPr>
          <w:rFonts w:eastAsia="Times New Roman"/>
          <w:b/>
        </w:rPr>
        <w:t>24</w:t>
      </w:r>
      <w:r w:rsidRPr="006476DD">
        <w:rPr>
          <w:rFonts w:eastAsia="Times New Roman"/>
          <w:b/>
        </w:rPr>
        <w:t xml:space="preserve"> trabajadores por legislador.</w:t>
      </w:r>
      <w:r w:rsidRPr="003333D0">
        <w:rPr>
          <w:rFonts w:eastAsia="Times New Roman"/>
        </w:rPr>
        <w:t xml:space="preserve"> La jurisdicción con la mayor cantidad de empleados por legislador es Chaco, cuya planta de personal del poder legislativo asciende 2.037 trabajadores lo que significa q</w:t>
      </w:r>
      <w:r w:rsidR="009D04DB" w:rsidRPr="003333D0">
        <w:rPr>
          <w:rFonts w:eastAsia="Times New Roman"/>
        </w:rPr>
        <w:t>ue posee 64 por cada legislador</w:t>
      </w:r>
      <w:r w:rsidR="00E64F8B">
        <w:rPr>
          <w:rFonts w:eastAsia="Times New Roman"/>
        </w:rPr>
        <w:t>, m</w:t>
      </w:r>
      <w:r w:rsidR="003333D0" w:rsidRPr="003333D0">
        <w:rPr>
          <w:rFonts w:eastAsia="Times New Roman"/>
        </w:rPr>
        <w:t>ás atrás aparece</w:t>
      </w:r>
      <w:r w:rsidR="00E64F8B">
        <w:rPr>
          <w:rFonts w:eastAsia="Times New Roman"/>
        </w:rPr>
        <w:t>n</w:t>
      </w:r>
      <w:r w:rsidR="003333D0" w:rsidRPr="003333D0">
        <w:rPr>
          <w:rFonts w:eastAsia="Times New Roman"/>
        </w:rPr>
        <w:t xml:space="preserve"> Santa Cruz (38</w:t>
      </w:r>
      <w:r w:rsidRPr="003333D0">
        <w:rPr>
          <w:rFonts w:eastAsia="Times New Roman"/>
        </w:rPr>
        <w:t>) y Tierra del Fuego (24). En el otro extremo, se encuentra</w:t>
      </w:r>
      <w:r w:rsidR="003333D0" w:rsidRPr="003333D0">
        <w:rPr>
          <w:rFonts w:eastAsia="Times New Roman"/>
        </w:rPr>
        <w:t xml:space="preserve"> Entre Ríos con 8</w:t>
      </w:r>
      <w:r w:rsidRPr="003333D0">
        <w:rPr>
          <w:rFonts w:eastAsia="Times New Roman"/>
        </w:rPr>
        <w:t xml:space="preserve"> empleados por legislador, Mendoza y La Pampa, ambas con 14 per cápita.</w:t>
      </w:r>
    </w:p>
    <w:p w:rsidR="00BE04C6" w:rsidRDefault="00BE04C6" w:rsidP="00FB46D1">
      <w:pPr>
        <w:contextualSpacing w:val="0"/>
        <w:jc w:val="both"/>
        <w:rPr>
          <w:rFonts w:eastAsia="Times New Roman"/>
        </w:rPr>
      </w:pPr>
    </w:p>
    <w:p w:rsidR="00025EF2" w:rsidRDefault="00025EF2" w:rsidP="00FB46D1">
      <w:pPr>
        <w:contextualSpacing w:val="0"/>
        <w:jc w:val="both"/>
        <w:rPr>
          <w:rFonts w:eastAsia="Times New Roman"/>
        </w:rPr>
      </w:pPr>
    </w:p>
    <w:p w:rsidR="00FB46D1" w:rsidRPr="00FB46D1" w:rsidRDefault="00FB46D1" w:rsidP="00FB46D1">
      <w:pPr>
        <w:contextualSpacing w:val="0"/>
        <w:jc w:val="both"/>
        <w:rPr>
          <w:rFonts w:eastAsia="Times New Roman"/>
          <w:b/>
        </w:rPr>
      </w:pPr>
      <w:r w:rsidRPr="00BC59FD">
        <w:rPr>
          <w:rFonts w:eastAsia="Times New Roman"/>
          <w:b/>
        </w:rPr>
        <w:t xml:space="preserve">El Gasto </w:t>
      </w:r>
      <w:r w:rsidR="00440BED" w:rsidRPr="00BC59FD">
        <w:rPr>
          <w:rFonts w:eastAsia="Times New Roman"/>
          <w:b/>
        </w:rPr>
        <w:t>d</w:t>
      </w:r>
      <w:r w:rsidRPr="00BC59FD">
        <w:rPr>
          <w:rFonts w:eastAsia="Times New Roman"/>
          <w:b/>
        </w:rPr>
        <w:t xml:space="preserve">el Poder Legislativo </w:t>
      </w:r>
      <w:r w:rsidR="00440BED" w:rsidRPr="00BC59FD">
        <w:rPr>
          <w:rFonts w:eastAsia="Times New Roman"/>
          <w:b/>
        </w:rPr>
        <w:t xml:space="preserve">en los </w:t>
      </w:r>
      <w:r w:rsidRPr="00BC59FD">
        <w:rPr>
          <w:rFonts w:eastAsia="Times New Roman"/>
          <w:b/>
        </w:rPr>
        <w:t>Presupuestos Provinciales</w:t>
      </w:r>
    </w:p>
    <w:p w:rsidR="00FB46D1" w:rsidRDefault="00FB46D1" w:rsidP="00FB46D1">
      <w:pPr>
        <w:contextualSpacing w:val="0"/>
        <w:jc w:val="both"/>
        <w:rPr>
          <w:rFonts w:eastAsia="Times New Roman"/>
        </w:rPr>
      </w:pPr>
    </w:p>
    <w:p w:rsidR="00FB46D1" w:rsidRPr="00B9305D" w:rsidRDefault="00FB46D1" w:rsidP="00FB46D1">
      <w:pPr>
        <w:contextualSpacing w:val="0"/>
        <w:jc w:val="both"/>
        <w:rPr>
          <w:rFonts w:eastAsia="Times New Roman"/>
        </w:rPr>
      </w:pPr>
      <w:r w:rsidRPr="00361968">
        <w:rPr>
          <w:rFonts w:eastAsia="Times New Roman"/>
          <w:b/>
        </w:rPr>
        <w:t xml:space="preserve">El presupuesto destinado al Poder Legislativo en las provincias representa en promedio el </w:t>
      </w:r>
      <w:r w:rsidR="009D04DB" w:rsidRPr="00361968">
        <w:rPr>
          <w:rFonts w:eastAsia="Times New Roman"/>
          <w:b/>
        </w:rPr>
        <w:t>1,47</w:t>
      </w:r>
      <w:r w:rsidRPr="00361968">
        <w:rPr>
          <w:rFonts w:eastAsia="Times New Roman"/>
          <w:b/>
        </w:rPr>
        <w:t>% del total de gastos</w:t>
      </w:r>
      <w:r w:rsidR="009D04DB" w:rsidRPr="00361968">
        <w:rPr>
          <w:rFonts w:eastAsia="Times New Roman"/>
          <w:b/>
        </w:rPr>
        <w:t xml:space="preserve">. </w:t>
      </w:r>
      <w:r w:rsidRPr="00361968">
        <w:rPr>
          <w:rFonts w:eastAsia="Times New Roman"/>
          <w:b/>
        </w:rPr>
        <w:t xml:space="preserve">Las tres jurisdicciones que exhiben una mayor </w:t>
      </w:r>
      <w:r w:rsidR="00FF2772" w:rsidRPr="00361968">
        <w:rPr>
          <w:rFonts w:eastAsia="Times New Roman"/>
          <w:b/>
        </w:rPr>
        <w:t>participación son: Tucumán (4,2</w:t>
      </w:r>
      <w:r w:rsidRPr="00361968">
        <w:rPr>
          <w:rFonts w:eastAsia="Times New Roman"/>
          <w:b/>
        </w:rPr>
        <w:t>%), Catama</w:t>
      </w:r>
      <w:r w:rsidR="000E3854" w:rsidRPr="00361968">
        <w:rPr>
          <w:rFonts w:eastAsia="Times New Roman"/>
          <w:b/>
        </w:rPr>
        <w:t>rca (2,8%) y Chaco (2,7</w:t>
      </w:r>
      <w:r w:rsidRPr="00361968">
        <w:rPr>
          <w:rFonts w:eastAsia="Times New Roman"/>
          <w:b/>
        </w:rPr>
        <w:t>%).</w:t>
      </w:r>
      <w:r w:rsidRPr="003A56F6">
        <w:rPr>
          <w:rFonts w:eastAsia="Times New Roman"/>
        </w:rPr>
        <w:t xml:space="preserve"> Si bien estos porcentajes </w:t>
      </w:r>
      <w:r w:rsidR="00056593" w:rsidRPr="003A56F6">
        <w:rPr>
          <w:rFonts w:eastAsia="Times New Roman"/>
        </w:rPr>
        <w:t>parecen</w:t>
      </w:r>
      <w:r w:rsidRPr="003A56F6">
        <w:rPr>
          <w:rFonts w:eastAsia="Times New Roman"/>
        </w:rPr>
        <w:t xml:space="preserve"> poco significativos dentro de los Presupuestos, cuando se realizan</w:t>
      </w:r>
      <w:r w:rsidRPr="00B9305D">
        <w:rPr>
          <w:rFonts w:eastAsia="Times New Roman"/>
        </w:rPr>
        <w:t xml:space="preserve"> algunas comparaciones sobre otras erogaciones que realizan las provincias se puede advertir la importancia</w:t>
      </w:r>
      <w:r w:rsidR="00056593" w:rsidRPr="00B9305D">
        <w:rPr>
          <w:rFonts w:eastAsia="Times New Roman"/>
        </w:rPr>
        <w:t xml:space="preserve"> relativa</w:t>
      </w:r>
      <w:r w:rsidRPr="00B9305D">
        <w:rPr>
          <w:rFonts w:eastAsia="Times New Roman"/>
        </w:rPr>
        <w:t xml:space="preserve"> de los mismos. </w:t>
      </w:r>
    </w:p>
    <w:p w:rsidR="00FB46D1" w:rsidRPr="00B9305D" w:rsidRDefault="00FB46D1" w:rsidP="004844C3">
      <w:pPr>
        <w:contextualSpacing w:val="0"/>
        <w:jc w:val="both"/>
        <w:rPr>
          <w:shd w:val="clear" w:color="auto" w:fill="FFFFFF"/>
        </w:rPr>
      </w:pPr>
    </w:p>
    <w:p w:rsidR="00931B29" w:rsidRPr="00B9305D" w:rsidRDefault="00251641">
      <w:pPr>
        <w:contextualSpacing w:val="0"/>
        <w:jc w:val="both"/>
        <w:rPr>
          <w:rFonts w:eastAsia="Times New Roman"/>
        </w:rPr>
      </w:pPr>
      <w:r w:rsidRPr="00B9305D">
        <w:rPr>
          <w:rFonts w:eastAsia="Times New Roman"/>
        </w:rPr>
        <w:t>Tucumán, com</w:t>
      </w:r>
      <w:r w:rsidR="00910D0C" w:rsidRPr="00B9305D">
        <w:rPr>
          <w:rFonts w:eastAsia="Times New Roman"/>
        </w:rPr>
        <w:t xml:space="preserve">o se mencionó, es la </w:t>
      </w:r>
      <w:r w:rsidR="00411EF7" w:rsidRPr="00B9305D">
        <w:rPr>
          <w:rFonts w:eastAsia="Times New Roman"/>
        </w:rPr>
        <w:t xml:space="preserve">que tiene el </w:t>
      </w:r>
      <w:r w:rsidR="00910D0C" w:rsidRPr="00B9305D">
        <w:rPr>
          <w:rFonts w:eastAsia="Times New Roman"/>
        </w:rPr>
        <w:t>mayor</w:t>
      </w:r>
      <w:r w:rsidRPr="00B9305D">
        <w:rPr>
          <w:rFonts w:eastAsia="Times New Roman"/>
        </w:rPr>
        <w:t xml:space="preserve"> </w:t>
      </w:r>
      <w:r w:rsidR="00411EF7" w:rsidRPr="00B9305D">
        <w:rPr>
          <w:rFonts w:eastAsia="Times New Roman"/>
        </w:rPr>
        <w:t xml:space="preserve">costo por legislador y destina un monto total </w:t>
      </w:r>
      <w:r w:rsidR="00D23AF5">
        <w:rPr>
          <w:rFonts w:eastAsia="Times New Roman"/>
        </w:rPr>
        <w:t>de $6.595</w:t>
      </w:r>
      <w:r w:rsidRPr="00B9305D">
        <w:rPr>
          <w:rFonts w:eastAsia="Times New Roman"/>
        </w:rPr>
        <w:t xml:space="preserve"> millones</w:t>
      </w:r>
      <w:r w:rsidR="00411EF7" w:rsidRPr="00B9305D">
        <w:rPr>
          <w:rFonts w:eastAsia="Times New Roman"/>
        </w:rPr>
        <w:t xml:space="preserve"> a su Legislatura</w:t>
      </w:r>
      <w:r w:rsidRPr="00B9305D">
        <w:rPr>
          <w:rFonts w:eastAsia="Times New Roman"/>
        </w:rPr>
        <w:t>.</w:t>
      </w:r>
      <w:r w:rsidR="00411EF7" w:rsidRPr="00B9305D">
        <w:rPr>
          <w:rFonts w:eastAsia="Times New Roman"/>
        </w:rPr>
        <w:t xml:space="preserve"> </w:t>
      </w:r>
      <w:r w:rsidR="00792768" w:rsidRPr="00B9305D">
        <w:rPr>
          <w:rFonts w:eastAsia="Times New Roman"/>
        </w:rPr>
        <w:t xml:space="preserve">Si bien no se pudo obtener la desagregación del Presupuesto por </w:t>
      </w:r>
      <w:r w:rsidR="00411EF7" w:rsidRPr="00B9305D">
        <w:rPr>
          <w:rFonts w:eastAsia="Times New Roman"/>
        </w:rPr>
        <w:t>jurisdicciones</w:t>
      </w:r>
      <w:r w:rsidR="00792768" w:rsidRPr="00B9305D">
        <w:rPr>
          <w:rFonts w:eastAsia="Times New Roman"/>
        </w:rPr>
        <w:t>,</w:t>
      </w:r>
      <w:r w:rsidR="00411EF7" w:rsidRPr="00B9305D">
        <w:rPr>
          <w:rFonts w:eastAsia="Times New Roman"/>
        </w:rPr>
        <w:t xml:space="preserve"> </w:t>
      </w:r>
      <w:r w:rsidR="00792768" w:rsidRPr="00B9305D">
        <w:rPr>
          <w:rFonts w:eastAsia="Times New Roman"/>
        </w:rPr>
        <w:t xml:space="preserve">puede señalarse que este </w:t>
      </w:r>
      <w:r w:rsidR="00F20C54" w:rsidRPr="00B9305D">
        <w:rPr>
          <w:rFonts w:eastAsia="Times New Roman"/>
        </w:rPr>
        <w:t>importe</w:t>
      </w:r>
      <w:r w:rsidR="006C444E" w:rsidRPr="00B9305D">
        <w:rPr>
          <w:rFonts w:eastAsia="Times New Roman"/>
        </w:rPr>
        <w:t xml:space="preserve"> </w:t>
      </w:r>
      <w:r w:rsidR="00F20C54" w:rsidRPr="00B9305D">
        <w:rPr>
          <w:rFonts w:eastAsia="Times New Roman"/>
        </w:rPr>
        <w:t>equivale</w:t>
      </w:r>
      <w:r w:rsidR="000B25A4" w:rsidRPr="00B9305D">
        <w:rPr>
          <w:rFonts w:eastAsia="Times New Roman"/>
        </w:rPr>
        <w:t xml:space="preserve"> </w:t>
      </w:r>
      <w:r w:rsidR="00895209">
        <w:rPr>
          <w:rFonts w:eastAsia="Times New Roman"/>
        </w:rPr>
        <w:t>al 88</w:t>
      </w:r>
      <w:r w:rsidRPr="00B9305D">
        <w:rPr>
          <w:rFonts w:eastAsia="Times New Roman"/>
        </w:rPr>
        <w:t xml:space="preserve">% de lo </w:t>
      </w:r>
      <w:r w:rsidR="00792768" w:rsidRPr="00B9305D">
        <w:rPr>
          <w:rFonts w:eastAsia="Times New Roman"/>
        </w:rPr>
        <w:t>que la provincia destina</w:t>
      </w:r>
      <w:r w:rsidRPr="00B9305D">
        <w:rPr>
          <w:rFonts w:eastAsia="Times New Roman"/>
        </w:rPr>
        <w:t xml:space="preserve"> </w:t>
      </w:r>
      <w:r w:rsidRPr="00B6329E">
        <w:rPr>
          <w:rFonts w:eastAsia="Times New Roman"/>
        </w:rPr>
        <w:t xml:space="preserve">a </w:t>
      </w:r>
      <w:r w:rsidR="00B6329E">
        <w:rPr>
          <w:rFonts w:eastAsia="Times New Roman"/>
        </w:rPr>
        <w:t xml:space="preserve">la Inversión Real Directa </w:t>
      </w:r>
      <w:r w:rsidR="00B6329E" w:rsidRPr="00B6329E">
        <w:rPr>
          <w:rFonts w:eastAsia="Times New Roman"/>
        </w:rPr>
        <w:t>($</w:t>
      </w:r>
      <w:r w:rsidR="00B6329E">
        <w:rPr>
          <w:rFonts w:eastAsia="Times New Roman"/>
        </w:rPr>
        <w:t>7.529</w:t>
      </w:r>
      <w:r w:rsidR="006C444E" w:rsidRPr="00B6329E">
        <w:rPr>
          <w:rFonts w:eastAsia="Times New Roman"/>
        </w:rPr>
        <w:t xml:space="preserve"> millones), de</w:t>
      </w:r>
      <w:r w:rsidR="006C444E" w:rsidRPr="00B9305D">
        <w:rPr>
          <w:rFonts w:eastAsia="Times New Roman"/>
        </w:rPr>
        <w:t xml:space="preserve"> acuerdo al Presupuesto para el actual ejercicio.</w:t>
      </w:r>
      <w:r w:rsidR="00651955">
        <w:rPr>
          <w:rFonts w:eastAsia="Times New Roman"/>
        </w:rPr>
        <w:t xml:space="preserve"> </w:t>
      </w:r>
    </w:p>
    <w:p w:rsidR="00D45A13" w:rsidRPr="00B9305D" w:rsidRDefault="00D45A13">
      <w:pPr>
        <w:contextualSpacing w:val="0"/>
        <w:jc w:val="both"/>
        <w:rPr>
          <w:rFonts w:eastAsia="Times New Roman"/>
        </w:rPr>
      </w:pPr>
    </w:p>
    <w:p w:rsidR="00792768" w:rsidRPr="00B9305D" w:rsidRDefault="00251641">
      <w:pPr>
        <w:contextualSpacing w:val="0"/>
        <w:jc w:val="both"/>
        <w:rPr>
          <w:rFonts w:eastAsia="Times New Roman"/>
        </w:rPr>
      </w:pPr>
      <w:r w:rsidRPr="000A7936">
        <w:rPr>
          <w:rFonts w:eastAsia="Times New Roman"/>
        </w:rPr>
        <w:t>La Ciudad Aut</w:t>
      </w:r>
      <w:r w:rsidR="00792768" w:rsidRPr="000A7936">
        <w:rPr>
          <w:rFonts w:eastAsia="Times New Roman"/>
        </w:rPr>
        <w:t>ónoma de Buenos Aires tiene un p</w:t>
      </w:r>
      <w:r w:rsidRPr="000A7936">
        <w:rPr>
          <w:rFonts w:eastAsia="Times New Roman"/>
        </w:rPr>
        <w:t>resupuesto asignad</w:t>
      </w:r>
      <w:r w:rsidR="00893C3C" w:rsidRPr="000A7936">
        <w:rPr>
          <w:rFonts w:eastAsia="Times New Roman"/>
        </w:rPr>
        <w:t xml:space="preserve">o al </w:t>
      </w:r>
      <w:r w:rsidR="00D23AF5" w:rsidRPr="000A7936">
        <w:rPr>
          <w:rFonts w:eastAsia="Times New Roman"/>
        </w:rPr>
        <w:t>Poder Legislativo de $</w:t>
      </w:r>
      <w:r w:rsidR="000A7936" w:rsidRPr="000A7936">
        <w:rPr>
          <w:rFonts w:eastAsia="Times New Roman"/>
        </w:rPr>
        <w:t>6.069</w:t>
      </w:r>
      <w:r w:rsidRPr="000A7936">
        <w:rPr>
          <w:rFonts w:eastAsia="Times New Roman"/>
        </w:rPr>
        <w:t xml:space="preserve"> millones, </w:t>
      </w:r>
      <w:r w:rsidR="00B5731E" w:rsidRPr="000A7936">
        <w:rPr>
          <w:rFonts w:eastAsia="Times New Roman"/>
        </w:rPr>
        <w:t xml:space="preserve">este monto equivale </w:t>
      </w:r>
      <w:r w:rsidR="004F74F1" w:rsidRPr="000A7936">
        <w:rPr>
          <w:rFonts w:eastAsia="Times New Roman"/>
        </w:rPr>
        <w:t xml:space="preserve">al </w:t>
      </w:r>
      <w:r w:rsidR="000A7936" w:rsidRPr="000A7936">
        <w:rPr>
          <w:rFonts w:eastAsia="Times New Roman"/>
        </w:rPr>
        <w:t>83</w:t>
      </w:r>
      <w:r w:rsidR="00B5731E" w:rsidRPr="000A7936">
        <w:rPr>
          <w:rFonts w:eastAsia="Times New Roman"/>
        </w:rPr>
        <w:t xml:space="preserve">% de lo destinado al Ministerio de </w:t>
      </w:r>
      <w:r w:rsidR="005D0516" w:rsidRPr="000A7936">
        <w:rPr>
          <w:rFonts w:eastAsia="Times New Roman"/>
        </w:rPr>
        <w:t>Hacienda</w:t>
      </w:r>
      <w:r w:rsidR="00630D07" w:rsidRPr="000A7936">
        <w:rPr>
          <w:rFonts w:eastAsia="Times New Roman"/>
        </w:rPr>
        <w:t xml:space="preserve"> y Finanzas </w:t>
      </w:r>
      <w:r w:rsidR="00D23AF5" w:rsidRPr="000A7936">
        <w:rPr>
          <w:rFonts w:eastAsia="Times New Roman"/>
        </w:rPr>
        <w:t>($7.350</w:t>
      </w:r>
      <w:r w:rsidR="003A616A" w:rsidRPr="000A7936">
        <w:rPr>
          <w:rFonts w:eastAsia="Times New Roman"/>
        </w:rPr>
        <w:t xml:space="preserve"> millones)</w:t>
      </w:r>
      <w:r w:rsidR="00B5731E" w:rsidRPr="000A7936">
        <w:rPr>
          <w:rFonts w:eastAsia="Times New Roman"/>
        </w:rPr>
        <w:t>,</w:t>
      </w:r>
      <w:r w:rsidR="004F74F1" w:rsidRPr="000A7936">
        <w:rPr>
          <w:rFonts w:eastAsia="Times New Roman"/>
        </w:rPr>
        <w:t xml:space="preserve"> </w:t>
      </w:r>
      <w:r w:rsidR="000A7936" w:rsidRPr="000A7936">
        <w:rPr>
          <w:rFonts w:eastAsia="Times New Roman"/>
        </w:rPr>
        <w:t>al 70</w:t>
      </w:r>
      <w:r w:rsidR="00B5731E" w:rsidRPr="000A7936">
        <w:rPr>
          <w:rFonts w:eastAsia="Times New Roman"/>
        </w:rPr>
        <w:t xml:space="preserve">% de lo </w:t>
      </w:r>
      <w:r w:rsidR="007B38CF" w:rsidRPr="000A7936">
        <w:rPr>
          <w:rFonts w:eastAsia="Times New Roman"/>
        </w:rPr>
        <w:t xml:space="preserve">asignado </w:t>
      </w:r>
      <w:r w:rsidR="00B5731E" w:rsidRPr="000A7936">
        <w:rPr>
          <w:rFonts w:eastAsia="Times New Roman"/>
        </w:rPr>
        <w:t xml:space="preserve">al </w:t>
      </w:r>
      <w:r w:rsidRPr="000A7936">
        <w:rPr>
          <w:rFonts w:eastAsia="Times New Roman"/>
        </w:rPr>
        <w:t>Ministe</w:t>
      </w:r>
      <w:r w:rsidR="00630D07" w:rsidRPr="000A7936">
        <w:rPr>
          <w:rFonts w:eastAsia="Times New Roman"/>
        </w:rPr>
        <w:t>rio de Cultura</w:t>
      </w:r>
      <w:r w:rsidR="00D23AF5" w:rsidRPr="000A7936">
        <w:rPr>
          <w:rFonts w:eastAsia="Times New Roman"/>
        </w:rPr>
        <w:t xml:space="preserve"> ($8.701</w:t>
      </w:r>
      <w:r w:rsidR="003A616A" w:rsidRPr="000A7936">
        <w:rPr>
          <w:rFonts w:eastAsia="Times New Roman"/>
        </w:rPr>
        <w:t xml:space="preserve"> millones)</w:t>
      </w:r>
      <w:r w:rsidR="007B38CF" w:rsidRPr="000A7936">
        <w:rPr>
          <w:rFonts w:eastAsia="Times New Roman"/>
        </w:rPr>
        <w:t xml:space="preserve"> y al</w:t>
      </w:r>
      <w:r w:rsidR="005D0516" w:rsidRPr="000A7936">
        <w:rPr>
          <w:rFonts w:eastAsia="Times New Roman"/>
        </w:rPr>
        <w:t xml:space="preserve"> 20</w:t>
      </w:r>
      <w:r w:rsidR="00B5731E" w:rsidRPr="000A7936">
        <w:rPr>
          <w:rFonts w:eastAsia="Times New Roman"/>
        </w:rPr>
        <w:t xml:space="preserve">% de lo </w:t>
      </w:r>
      <w:r w:rsidR="007B38CF" w:rsidRPr="000A7936">
        <w:rPr>
          <w:rFonts w:eastAsia="Times New Roman"/>
        </w:rPr>
        <w:t>proyectado para e</w:t>
      </w:r>
      <w:r w:rsidR="00B5731E" w:rsidRPr="000A7936">
        <w:rPr>
          <w:rFonts w:eastAsia="Times New Roman"/>
        </w:rPr>
        <w:t>l Ministerio de Hábitat y Desarrollo Humano</w:t>
      </w:r>
      <w:r w:rsidR="00D23AF5" w:rsidRPr="000A7936">
        <w:rPr>
          <w:rFonts w:eastAsia="Times New Roman"/>
        </w:rPr>
        <w:t xml:space="preserve"> ($30.980</w:t>
      </w:r>
      <w:r w:rsidR="003A616A" w:rsidRPr="000A7936">
        <w:rPr>
          <w:rFonts w:eastAsia="Times New Roman"/>
        </w:rPr>
        <w:t xml:space="preserve"> millones)</w:t>
      </w:r>
      <w:r w:rsidR="007B38CF" w:rsidRPr="000A7936">
        <w:rPr>
          <w:rFonts w:eastAsia="Times New Roman"/>
        </w:rPr>
        <w:t>.</w:t>
      </w:r>
    </w:p>
    <w:p w:rsidR="00931B29" w:rsidRPr="00B9305D" w:rsidRDefault="00931B29">
      <w:pPr>
        <w:contextualSpacing w:val="0"/>
        <w:jc w:val="both"/>
        <w:rPr>
          <w:rFonts w:eastAsia="Times New Roman"/>
        </w:rPr>
      </w:pPr>
    </w:p>
    <w:p w:rsidR="00931B29" w:rsidRPr="00B9305D" w:rsidRDefault="00B45FD6">
      <w:pPr>
        <w:contextualSpacing w:val="0"/>
        <w:jc w:val="both"/>
        <w:rPr>
          <w:rFonts w:eastAsia="Times New Roman"/>
        </w:rPr>
      </w:pPr>
      <w:r w:rsidRPr="00F45B8A">
        <w:rPr>
          <w:rFonts w:eastAsia="Times New Roman"/>
        </w:rPr>
        <w:t>La provincia de Santa Fe</w:t>
      </w:r>
      <w:r w:rsidR="007B38CF" w:rsidRPr="00F45B8A">
        <w:rPr>
          <w:rFonts w:eastAsia="Times New Roman"/>
        </w:rPr>
        <w:t>,</w:t>
      </w:r>
      <w:r w:rsidR="00251641" w:rsidRPr="00F45B8A">
        <w:rPr>
          <w:rFonts w:eastAsia="Times New Roman"/>
        </w:rPr>
        <w:t xml:space="preserve"> </w:t>
      </w:r>
      <w:r w:rsidR="007527CA" w:rsidRPr="00F45B8A">
        <w:rPr>
          <w:rFonts w:eastAsia="Times New Roman"/>
        </w:rPr>
        <w:t>destina al Poder L</w:t>
      </w:r>
      <w:r w:rsidR="00251641" w:rsidRPr="00F45B8A">
        <w:rPr>
          <w:rFonts w:eastAsia="Times New Roman"/>
        </w:rPr>
        <w:t>egislativo un monto</w:t>
      </w:r>
      <w:r w:rsidRPr="00F45B8A">
        <w:rPr>
          <w:rFonts w:eastAsia="Times New Roman"/>
        </w:rPr>
        <w:t xml:space="preserve"> de </w:t>
      </w:r>
      <w:r w:rsidR="00D23AF5" w:rsidRPr="00F45B8A">
        <w:rPr>
          <w:rFonts w:eastAsia="Times New Roman"/>
        </w:rPr>
        <w:t>$5.478</w:t>
      </w:r>
      <w:r w:rsidR="007B38CF" w:rsidRPr="00F45B8A">
        <w:rPr>
          <w:rFonts w:eastAsia="Times New Roman"/>
        </w:rPr>
        <w:t xml:space="preserve"> millones, esta </w:t>
      </w:r>
      <w:r w:rsidR="00BE04C6" w:rsidRPr="00F45B8A">
        <w:rPr>
          <w:rFonts w:eastAsia="Times New Roman"/>
        </w:rPr>
        <w:t>cifra es levemente superior a la destinada al</w:t>
      </w:r>
      <w:r w:rsidR="00251641" w:rsidRPr="00F45B8A">
        <w:rPr>
          <w:rFonts w:eastAsia="Times New Roman"/>
        </w:rPr>
        <w:t xml:space="preserve"> </w:t>
      </w:r>
      <w:r w:rsidR="00BE04C6" w:rsidRPr="00F45B8A">
        <w:rPr>
          <w:rFonts w:eastAsia="Times New Roman"/>
        </w:rPr>
        <w:t>Minist</w:t>
      </w:r>
      <w:r w:rsidR="00D23AF5" w:rsidRPr="00F45B8A">
        <w:rPr>
          <w:rFonts w:eastAsia="Times New Roman"/>
        </w:rPr>
        <w:t>erio de Obras Públicas ($5.173</w:t>
      </w:r>
      <w:r w:rsidR="00BE04C6" w:rsidRPr="00F45B8A">
        <w:rPr>
          <w:rFonts w:eastAsia="Times New Roman"/>
        </w:rPr>
        <w:t>).</w:t>
      </w:r>
      <w:r w:rsidR="008B4383" w:rsidRPr="00F45B8A">
        <w:rPr>
          <w:rFonts w:eastAsia="Times New Roman"/>
        </w:rPr>
        <w:t xml:space="preserve"> </w:t>
      </w:r>
      <w:r w:rsidR="00C82BF5" w:rsidRPr="00F45B8A">
        <w:rPr>
          <w:rFonts w:eastAsia="Times New Roman"/>
        </w:rPr>
        <w:t>T</w:t>
      </w:r>
      <w:r w:rsidR="00BE04C6" w:rsidRPr="00F45B8A">
        <w:rPr>
          <w:rFonts w:eastAsia="Times New Roman"/>
        </w:rPr>
        <w:t xml:space="preserve">ambién, este monto resultar 1,3 veces mayor al </w:t>
      </w:r>
      <w:r w:rsidR="00C0481B" w:rsidRPr="00F45B8A">
        <w:rPr>
          <w:rFonts w:eastAsia="Times New Roman"/>
        </w:rPr>
        <w:t xml:space="preserve">presupuestado para el Ministerio de </w:t>
      </w:r>
      <w:r w:rsidR="00F45B8A" w:rsidRPr="00F45B8A">
        <w:rPr>
          <w:rFonts w:eastAsia="Times New Roman"/>
        </w:rPr>
        <w:t>Trabajo</w:t>
      </w:r>
      <w:r w:rsidR="00895209">
        <w:rPr>
          <w:rFonts w:eastAsia="Times New Roman"/>
        </w:rPr>
        <w:t xml:space="preserve"> y Seguridad Social</w:t>
      </w:r>
      <w:r w:rsidR="00F45B8A" w:rsidRPr="00F45B8A">
        <w:rPr>
          <w:rFonts w:eastAsia="Times New Roman"/>
        </w:rPr>
        <w:t xml:space="preserve"> </w:t>
      </w:r>
      <w:r w:rsidR="00D23AF5" w:rsidRPr="00F45B8A">
        <w:rPr>
          <w:rFonts w:eastAsia="Times New Roman"/>
        </w:rPr>
        <w:t>($4.186</w:t>
      </w:r>
      <w:r w:rsidR="00715AD8" w:rsidRPr="00F45B8A">
        <w:rPr>
          <w:rFonts w:eastAsia="Times New Roman"/>
        </w:rPr>
        <w:t xml:space="preserve"> millones)</w:t>
      </w:r>
      <w:r w:rsidR="00F45B8A" w:rsidRPr="00F45B8A">
        <w:rPr>
          <w:rFonts w:eastAsia="Times New Roman"/>
        </w:rPr>
        <w:t xml:space="preserve"> y 2,6 veces al del  Ministerio de Justicia y Derechos Humanos ($2.075).</w:t>
      </w:r>
      <w:r w:rsidR="00F45B8A">
        <w:rPr>
          <w:rFonts w:eastAsia="Times New Roman"/>
        </w:rPr>
        <w:t xml:space="preserve"> </w:t>
      </w:r>
      <w:r w:rsidR="00F45B8A" w:rsidRPr="00F45B8A">
        <w:rPr>
          <w:rFonts w:eastAsia="Times New Roman"/>
        </w:rPr>
        <w:t>Además</w:t>
      </w:r>
      <w:r w:rsidR="00F45B8A">
        <w:rPr>
          <w:rFonts w:eastAsia="Times New Roman"/>
        </w:rPr>
        <w:t>,</w:t>
      </w:r>
      <w:r w:rsidR="00F45B8A" w:rsidRPr="00F45B8A">
        <w:rPr>
          <w:rFonts w:eastAsia="Times New Roman"/>
        </w:rPr>
        <w:t xml:space="preserve"> equivale al</w:t>
      </w:r>
      <w:r w:rsidR="00F45B8A">
        <w:rPr>
          <w:rFonts w:eastAsia="Times New Roman"/>
        </w:rPr>
        <w:t xml:space="preserve"> 81% de los fondos</w:t>
      </w:r>
      <w:r w:rsidR="00F45B8A" w:rsidRPr="00F45B8A">
        <w:rPr>
          <w:rFonts w:eastAsia="Times New Roman"/>
        </w:rPr>
        <w:t xml:space="preserve"> destinado</w:t>
      </w:r>
      <w:r w:rsidR="00F45B8A">
        <w:rPr>
          <w:rFonts w:eastAsia="Times New Roman"/>
        </w:rPr>
        <w:t>s</w:t>
      </w:r>
      <w:r w:rsidR="00F45B8A" w:rsidRPr="00F45B8A">
        <w:rPr>
          <w:rFonts w:eastAsia="Times New Roman"/>
        </w:rPr>
        <w:t xml:space="preserve"> al Ministerio</w:t>
      </w:r>
      <w:r w:rsidR="002D3F36" w:rsidRPr="00F45B8A">
        <w:rPr>
          <w:rFonts w:eastAsia="Times New Roman"/>
        </w:rPr>
        <w:t xml:space="preserve"> </w:t>
      </w:r>
      <w:r w:rsidR="00F45B8A" w:rsidRPr="00F45B8A">
        <w:rPr>
          <w:rFonts w:eastAsia="Times New Roman"/>
        </w:rPr>
        <w:t>de Desarrollo Social ($</w:t>
      </w:r>
      <w:r w:rsidR="002D3F36" w:rsidRPr="00F45B8A">
        <w:rPr>
          <w:rFonts w:eastAsia="Times New Roman"/>
        </w:rPr>
        <w:t>6.772 millones</w:t>
      </w:r>
      <w:r w:rsidR="00F45B8A" w:rsidRPr="00F45B8A">
        <w:rPr>
          <w:rFonts w:eastAsia="Times New Roman"/>
        </w:rPr>
        <w:t>).</w:t>
      </w:r>
    </w:p>
    <w:p w:rsidR="00931B29" w:rsidRPr="00B9305D" w:rsidRDefault="00931B29">
      <w:pPr>
        <w:contextualSpacing w:val="0"/>
        <w:jc w:val="both"/>
        <w:rPr>
          <w:rFonts w:eastAsia="Times New Roman"/>
        </w:rPr>
      </w:pPr>
    </w:p>
    <w:p w:rsidR="00F44971" w:rsidRPr="00B9305D" w:rsidRDefault="00DE04F5" w:rsidP="00F44971">
      <w:pPr>
        <w:contextualSpacing w:val="0"/>
        <w:jc w:val="both"/>
        <w:rPr>
          <w:rFonts w:eastAsia="Times New Roman"/>
        </w:rPr>
      </w:pPr>
      <w:r w:rsidRPr="00C506BD">
        <w:rPr>
          <w:rFonts w:eastAsia="Times New Roman"/>
        </w:rPr>
        <w:t xml:space="preserve">Por su parte, </w:t>
      </w:r>
      <w:r w:rsidR="00F44971" w:rsidRPr="00C506BD">
        <w:rPr>
          <w:rFonts w:eastAsia="Times New Roman"/>
        </w:rPr>
        <w:t xml:space="preserve">Tierra del Fuego ha presupuestado para el Poder Legislativo un monto de </w:t>
      </w:r>
      <w:r w:rsidR="00CC6D78" w:rsidRPr="00C506BD">
        <w:rPr>
          <w:rFonts w:eastAsia="Times New Roman"/>
        </w:rPr>
        <w:t>$1.099</w:t>
      </w:r>
      <w:r w:rsidR="00CA2BF3" w:rsidRPr="00C506BD">
        <w:rPr>
          <w:rFonts w:eastAsia="Times New Roman"/>
        </w:rPr>
        <w:t xml:space="preserve"> millones, valor que más que </w:t>
      </w:r>
      <w:r w:rsidR="00F44971" w:rsidRPr="00C506BD">
        <w:rPr>
          <w:rFonts w:eastAsia="Times New Roman"/>
        </w:rPr>
        <w:t>duplica al destinado a la Direcc</w:t>
      </w:r>
      <w:r w:rsidR="00CC6D78" w:rsidRPr="00C506BD">
        <w:rPr>
          <w:rFonts w:eastAsia="Times New Roman"/>
        </w:rPr>
        <w:t>ión Provincial de Vialidad ($436</w:t>
      </w:r>
      <w:r w:rsidR="00F44971" w:rsidRPr="00C506BD">
        <w:rPr>
          <w:rFonts w:eastAsia="Times New Roman"/>
        </w:rPr>
        <w:t xml:space="preserve"> millones)</w:t>
      </w:r>
      <w:r w:rsidR="00E22AC6" w:rsidRPr="00C506BD">
        <w:rPr>
          <w:rFonts w:eastAsia="Times New Roman"/>
        </w:rPr>
        <w:t>,</w:t>
      </w:r>
      <w:r w:rsidR="00C506BD" w:rsidRPr="00C506BD">
        <w:rPr>
          <w:rFonts w:eastAsia="Times New Roman"/>
        </w:rPr>
        <w:t xml:space="preserve"> casi 9 veces superior al Ministerio de Trabajo y Empleo ($128 millones) y</w:t>
      </w:r>
      <w:r w:rsidR="00E22AC6" w:rsidRPr="00C506BD">
        <w:rPr>
          <w:rFonts w:eastAsia="Times New Roman"/>
        </w:rPr>
        <w:t xml:space="preserve"> </w:t>
      </w:r>
      <w:r w:rsidR="00CC6D78" w:rsidRPr="00C506BD">
        <w:rPr>
          <w:rFonts w:eastAsia="Times New Roman"/>
        </w:rPr>
        <w:t>también equivale al 90</w:t>
      </w:r>
      <w:r w:rsidR="00CA2BF3" w:rsidRPr="00C506BD">
        <w:rPr>
          <w:rFonts w:eastAsia="Times New Roman"/>
        </w:rPr>
        <w:t>% d</w:t>
      </w:r>
      <w:r w:rsidR="00F44971" w:rsidRPr="00C506BD">
        <w:rPr>
          <w:rFonts w:eastAsia="Times New Roman"/>
        </w:rPr>
        <w:t>el importe</w:t>
      </w:r>
      <w:r w:rsidR="006A38A7" w:rsidRPr="00C506BD">
        <w:rPr>
          <w:rFonts w:eastAsia="Times New Roman"/>
        </w:rPr>
        <w:t xml:space="preserve"> previsto</w:t>
      </w:r>
      <w:r w:rsidR="00F44971" w:rsidRPr="00C506BD">
        <w:rPr>
          <w:rFonts w:eastAsia="Times New Roman"/>
        </w:rPr>
        <w:t xml:space="preserve"> para la Dirección Provincial de </w:t>
      </w:r>
      <w:r w:rsidR="00CA2BF3" w:rsidRPr="00C506BD">
        <w:rPr>
          <w:rFonts w:eastAsia="Times New Roman"/>
        </w:rPr>
        <w:t xml:space="preserve">Obras y Servicios Sanitarios </w:t>
      </w:r>
      <w:r w:rsidR="00CC6D78" w:rsidRPr="00C506BD">
        <w:rPr>
          <w:rFonts w:eastAsia="Times New Roman"/>
        </w:rPr>
        <w:t>($1.225</w:t>
      </w:r>
      <w:r w:rsidR="00F44971" w:rsidRPr="00C506BD">
        <w:rPr>
          <w:rFonts w:eastAsia="Times New Roman"/>
        </w:rPr>
        <w:t xml:space="preserve"> millones</w:t>
      </w:r>
      <w:r w:rsidR="00C506BD" w:rsidRPr="00C506BD">
        <w:rPr>
          <w:rFonts w:eastAsia="Times New Roman"/>
        </w:rPr>
        <w:t>).</w:t>
      </w:r>
    </w:p>
    <w:p w:rsidR="00B5731E" w:rsidRPr="004E403E" w:rsidRDefault="00B5731E">
      <w:pPr>
        <w:contextualSpacing w:val="0"/>
        <w:jc w:val="both"/>
        <w:rPr>
          <w:rFonts w:eastAsia="Times New Roman"/>
          <w:highlight w:val="yellow"/>
        </w:rPr>
      </w:pPr>
    </w:p>
    <w:p w:rsidR="00931B29" w:rsidRDefault="00DA3CC1">
      <w:pPr>
        <w:contextualSpacing w:val="0"/>
        <w:jc w:val="both"/>
        <w:rPr>
          <w:rFonts w:eastAsia="Times New Roman"/>
        </w:rPr>
      </w:pPr>
      <w:r w:rsidRPr="00D23AF5">
        <w:rPr>
          <w:rFonts w:eastAsia="Times New Roman"/>
        </w:rPr>
        <w:t>En Neuquén</w:t>
      </w:r>
      <w:r w:rsidR="00251641" w:rsidRPr="00D23AF5">
        <w:rPr>
          <w:rFonts w:eastAsia="Times New Roman"/>
        </w:rPr>
        <w:t>, lo presupuestado para el corriente año a la función legislativa</w:t>
      </w:r>
      <w:r w:rsidR="00D23AF5" w:rsidRPr="00D23AF5">
        <w:rPr>
          <w:rFonts w:eastAsia="Times New Roman"/>
        </w:rPr>
        <w:t xml:space="preserve"> ($2.401</w:t>
      </w:r>
      <w:r w:rsidR="00D2313E" w:rsidRPr="00D23AF5">
        <w:rPr>
          <w:rFonts w:eastAsia="Times New Roman"/>
        </w:rPr>
        <w:t xml:space="preserve"> millones)</w:t>
      </w:r>
      <w:r w:rsidR="00251641" w:rsidRPr="00D23AF5">
        <w:rPr>
          <w:rFonts w:eastAsia="Times New Roman"/>
        </w:rPr>
        <w:t xml:space="preserve"> </w:t>
      </w:r>
      <w:r w:rsidR="00D23AF5" w:rsidRPr="00D23AF5">
        <w:rPr>
          <w:rFonts w:eastAsia="Times New Roman"/>
        </w:rPr>
        <w:t>es 2,8</w:t>
      </w:r>
      <w:r w:rsidRPr="00D23AF5">
        <w:rPr>
          <w:rFonts w:eastAsia="Times New Roman"/>
        </w:rPr>
        <w:t xml:space="preserve"> veces mayor</w:t>
      </w:r>
      <w:r w:rsidR="00E6315B" w:rsidRPr="00D23AF5">
        <w:rPr>
          <w:rFonts w:eastAsia="Times New Roman"/>
        </w:rPr>
        <w:t xml:space="preserve"> </w:t>
      </w:r>
      <w:r w:rsidRPr="00D23AF5">
        <w:rPr>
          <w:rFonts w:eastAsia="Times New Roman"/>
        </w:rPr>
        <w:t xml:space="preserve">al </w:t>
      </w:r>
      <w:r w:rsidR="00EE6333" w:rsidRPr="00D23AF5">
        <w:rPr>
          <w:rFonts w:eastAsia="Times New Roman"/>
        </w:rPr>
        <w:t xml:space="preserve">proyectado </w:t>
      </w:r>
      <w:r w:rsidRPr="00D23AF5">
        <w:rPr>
          <w:rFonts w:eastAsia="Times New Roman"/>
        </w:rPr>
        <w:t>para el Ministerio</w:t>
      </w:r>
      <w:r w:rsidR="00D23AF5" w:rsidRPr="00D23AF5">
        <w:rPr>
          <w:rFonts w:eastAsia="Times New Roman"/>
        </w:rPr>
        <w:t xml:space="preserve"> de Producción e Industria ($866</w:t>
      </w:r>
      <w:r w:rsidR="00251641" w:rsidRPr="00D23AF5">
        <w:rPr>
          <w:rFonts w:eastAsia="Times New Roman"/>
        </w:rPr>
        <w:t xml:space="preserve"> millones) y </w:t>
      </w:r>
      <w:r w:rsidRPr="00D23AF5">
        <w:rPr>
          <w:rFonts w:eastAsia="Times New Roman"/>
        </w:rPr>
        <w:t>2,3 superior al del Ministerio de Energía y Recursos Na</w:t>
      </w:r>
      <w:r w:rsidR="00D23AF5" w:rsidRPr="00D23AF5">
        <w:rPr>
          <w:rFonts w:eastAsia="Times New Roman"/>
        </w:rPr>
        <w:t>turales ($1.026</w:t>
      </w:r>
      <w:r w:rsidR="00251641" w:rsidRPr="00D23AF5">
        <w:rPr>
          <w:rFonts w:eastAsia="Times New Roman"/>
        </w:rPr>
        <w:t xml:space="preserve"> millones).</w:t>
      </w:r>
      <w:r w:rsidR="00251641" w:rsidRPr="000B25A4">
        <w:rPr>
          <w:rFonts w:eastAsia="Times New Roman"/>
        </w:rPr>
        <w:t xml:space="preserve"> </w:t>
      </w:r>
    </w:p>
    <w:p w:rsidR="00956F6E" w:rsidRDefault="00956F6E" w:rsidP="00FB46D1">
      <w:pPr>
        <w:contextualSpacing w:val="0"/>
        <w:jc w:val="both"/>
        <w:rPr>
          <w:rFonts w:eastAsia="Times New Roman"/>
        </w:rPr>
      </w:pPr>
    </w:p>
    <w:p w:rsidR="00FB46D1" w:rsidRPr="00440BED" w:rsidRDefault="00440BED" w:rsidP="00FB46D1">
      <w:pPr>
        <w:contextualSpacing w:val="0"/>
        <w:jc w:val="both"/>
        <w:rPr>
          <w:b/>
        </w:rPr>
      </w:pPr>
      <w:r w:rsidRPr="00440BED">
        <w:rPr>
          <w:b/>
        </w:rPr>
        <w:lastRenderedPageBreak/>
        <w:t>Comparación con</w:t>
      </w:r>
      <w:r>
        <w:rPr>
          <w:b/>
        </w:rPr>
        <w:t xml:space="preserve"> las</w:t>
      </w:r>
      <w:r w:rsidRPr="00440BED">
        <w:rPr>
          <w:b/>
        </w:rPr>
        <w:t xml:space="preserve"> Comunidades Autónomas de España</w:t>
      </w:r>
    </w:p>
    <w:p w:rsidR="00FB46D1" w:rsidRDefault="00FB46D1" w:rsidP="00FB46D1">
      <w:pPr>
        <w:contextualSpacing w:val="0"/>
        <w:jc w:val="both"/>
      </w:pPr>
    </w:p>
    <w:p w:rsidR="00FB46D1" w:rsidRPr="00852B85" w:rsidRDefault="00FB46D1" w:rsidP="00FB46D1">
      <w:pPr>
        <w:contextualSpacing w:val="0"/>
        <w:jc w:val="both"/>
      </w:pPr>
      <w:r w:rsidRPr="00852B85">
        <w:t xml:space="preserve">Para dimensionar estos guarismos resulta interesante contrastar estos números con el de legislaturas de otros países. La comparación con España puede resultar de utilidad ya que posee una población y una estructura legislativa similar a la de nuestro país. </w:t>
      </w:r>
      <w:r w:rsidRPr="006476DD">
        <w:rPr>
          <w:b/>
        </w:rPr>
        <w:t xml:space="preserve">A partir de los datos de los </w:t>
      </w:r>
      <w:r w:rsidR="00F736B8" w:rsidRPr="006476DD">
        <w:rPr>
          <w:b/>
        </w:rPr>
        <w:t>Presupuestos 2020</w:t>
      </w:r>
      <w:r w:rsidRPr="006476DD">
        <w:rPr>
          <w:b/>
        </w:rPr>
        <w:t xml:space="preserve"> de las Comunidades Autónomas, se desprende que el gasto por legislador para el total</w:t>
      </w:r>
      <w:r w:rsidRPr="006476DD">
        <w:rPr>
          <w:rStyle w:val="Refdenotaalpie"/>
          <w:b/>
        </w:rPr>
        <w:footnoteReference w:id="2"/>
      </w:r>
      <w:r w:rsidRPr="006476DD">
        <w:rPr>
          <w:b/>
        </w:rPr>
        <w:t xml:space="preserve"> de las legislaturas españolas asciende a </w:t>
      </w:r>
      <w:r w:rsidR="00F736B8" w:rsidRPr="006476DD">
        <w:rPr>
          <w:b/>
          <w:shd w:val="clear" w:color="auto" w:fill="FFFFFF"/>
        </w:rPr>
        <w:t>406,</w:t>
      </w:r>
      <w:r w:rsidR="00AA74E0" w:rsidRPr="006476DD">
        <w:rPr>
          <w:b/>
          <w:shd w:val="clear" w:color="auto" w:fill="FFFFFF"/>
        </w:rPr>
        <w:t>6</w:t>
      </w:r>
      <w:r w:rsidR="00926BD4" w:rsidRPr="006476DD">
        <w:rPr>
          <w:b/>
          <w:shd w:val="clear" w:color="auto" w:fill="FFFFFF"/>
        </w:rPr>
        <w:t xml:space="preserve"> millones</w:t>
      </w:r>
      <w:r w:rsidR="009C6B91" w:rsidRPr="006476DD">
        <w:rPr>
          <w:b/>
          <w:shd w:val="clear" w:color="auto" w:fill="FFFFFF"/>
        </w:rPr>
        <w:t xml:space="preserve"> </w:t>
      </w:r>
      <w:r w:rsidR="00926BD4" w:rsidRPr="006476DD">
        <w:rPr>
          <w:b/>
          <w:shd w:val="clear" w:color="auto" w:fill="FFFFFF"/>
        </w:rPr>
        <w:t>de euros, que</w:t>
      </w:r>
      <w:r w:rsidRPr="006476DD">
        <w:rPr>
          <w:b/>
          <w:shd w:val="clear" w:color="auto" w:fill="FFFFFF"/>
        </w:rPr>
        <w:t xml:space="preserve"> al tipo de cambio actual</w:t>
      </w:r>
      <w:r w:rsidRPr="006476DD">
        <w:rPr>
          <w:rStyle w:val="Refdenotaalpie"/>
          <w:b/>
          <w:shd w:val="clear" w:color="auto" w:fill="FFFFFF"/>
        </w:rPr>
        <w:footnoteReference w:id="3"/>
      </w:r>
      <w:r w:rsidR="00852B85" w:rsidRPr="006476DD">
        <w:rPr>
          <w:b/>
          <w:shd w:val="clear" w:color="auto" w:fill="FFFFFF"/>
        </w:rPr>
        <w:t xml:space="preserve">, asciende a </w:t>
      </w:r>
      <w:r w:rsidR="008043D3" w:rsidRPr="006476DD">
        <w:rPr>
          <w:b/>
          <w:shd w:val="clear" w:color="auto" w:fill="FFFFFF"/>
        </w:rPr>
        <w:t>$34.863</w:t>
      </w:r>
      <w:r w:rsidRPr="006476DD">
        <w:rPr>
          <w:b/>
          <w:shd w:val="clear" w:color="auto" w:fill="FFFFFF"/>
        </w:rPr>
        <w:t xml:space="preserve"> millones, valor que resulta cons</w:t>
      </w:r>
      <w:r w:rsidR="00982253" w:rsidRPr="006476DD">
        <w:rPr>
          <w:b/>
          <w:shd w:val="clear" w:color="auto" w:fill="FFFFFF"/>
        </w:rPr>
        <w:t>id</w:t>
      </w:r>
      <w:r w:rsidR="00852B85" w:rsidRPr="006476DD">
        <w:rPr>
          <w:b/>
          <w:shd w:val="clear" w:color="auto" w:fill="FFFFFF"/>
        </w:rPr>
        <w:t>er</w:t>
      </w:r>
      <w:r w:rsidR="00DC51C4">
        <w:rPr>
          <w:b/>
          <w:shd w:val="clear" w:color="auto" w:fill="FFFFFF"/>
        </w:rPr>
        <w:t>ablemente inferior a los $55.203</w:t>
      </w:r>
      <w:r w:rsidRPr="006476DD">
        <w:rPr>
          <w:b/>
          <w:shd w:val="clear" w:color="auto" w:fill="FFFFFF"/>
        </w:rPr>
        <w:t xml:space="preserve"> millones de la Argentina. En forma puntual, el c</w:t>
      </w:r>
      <w:r w:rsidR="00654CFC" w:rsidRPr="006476DD">
        <w:rPr>
          <w:b/>
          <w:shd w:val="clear" w:color="auto" w:fill="FFFFFF"/>
        </w:rPr>
        <w:t>osto en nuestro paí</w:t>
      </w:r>
      <w:r w:rsidR="00852B85" w:rsidRPr="006476DD">
        <w:rPr>
          <w:b/>
          <w:shd w:val="clear" w:color="auto" w:fill="FFFFFF"/>
        </w:rPr>
        <w:t>s resulta 1,</w:t>
      </w:r>
      <w:r w:rsidR="008043D3" w:rsidRPr="006476DD">
        <w:rPr>
          <w:b/>
          <w:shd w:val="clear" w:color="auto" w:fill="FFFFFF"/>
        </w:rPr>
        <w:t>6</w:t>
      </w:r>
      <w:r w:rsidRPr="006476DD">
        <w:rPr>
          <w:b/>
          <w:shd w:val="clear" w:color="auto" w:fill="FFFFFF"/>
        </w:rPr>
        <w:t xml:space="preserve"> veces el español.</w:t>
      </w:r>
      <w:r w:rsidRPr="00852B85">
        <w:rPr>
          <w:shd w:val="clear" w:color="auto" w:fill="FFFFFF"/>
        </w:rPr>
        <w:t xml:space="preserve"> </w:t>
      </w:r>
    </w:p>
    <w:p w:rsidR="00FB46D1" w:rsidRPr="00852B85" w:rsidRDefault="00FB46D1" w:rsidP="00FB46D1">
      <w:pPr>
        <w:contextualSpacing w:val="0"/>
        <w:jc w:val="both"/>
        <w:rPr>
          <w:shd w:val="clear" w:color="auto" w:fill="FFFFFF"/>
        </w:rPr>
      </w:pPr>
    </w:p>
    <w:p w:rsidR="00FB46D1" w:rsidRPr="00852B85" w:rsidRDefault="00FB46D1" w:rsidP="00FB46D1">
      <w:pPr>
        <w:contextualSpacing w:val="0"/>
        <w:jc w:val="both"/>
        <w:rPr>
          <w:shd w:val="clear" w:color="auto" w:fill="FFFFFF"/>
        </w:rPr>
      </w:pPr>
      <w:r w:rsidRPr="006476DD">
        <w:rPr>
          <w:b/>
          <w:shd w:val="clear" w:color="auto" w:fill="FFFFFF"/>
        </w:rPr>
        <w:t>Si se considera la co</w:t>
      </w:r>
      <w:r w:rsidR="00852B85" w:rsidRPr="006476DD">
        <w:rPr>
          <w:b/>
          <w:shd w:val="clear" w:color="auto" w:fill="FFFFFF"/>
        </w:rPr>
        <w:t>tización al 31 de diciembre 2019</w:t>
      </w:r>
      <w:r w:rsidRPr="006476DD">
        <w:rPr>
          <w:rStyle w:val="Refdenotaalpie"/>
          <w:b/>
          <w:shd w:val="clear" w:color="auto" w:fill="FFFFFF"/>
        </w:rPr>
        <w:footnoteReference w:id="4"/>
      </w:r>
      <w:r w:rsidRPr="006476DD">
        <w:rPr>
          <w:b/>
          <w:shd w:val="clear" w:color="auto" w:fill="FFFFFF"/>
        </w:rPr>
        <w:t>, momento en el cual la mayoría de los presupuestos provinciales estaban recientemente aprobados,</w:t>
      </w:r>
      <w:r w:rsidR="006476DD" w:rsidRPr="006476DD">
        <w:rPr>
          <w:b/>
          <w:shd w:val="clear" w:color="auto" w:fill="FFFFFF"/>
        </w:rPr>
        <w:t xml:space="preserve"> el Presupuesto argentino duplica </w:t>
      </w:r>
      <w:r w:rsidR="00B56A06" w:rsidRPr="006476DD">
        <w:rPr>
          <w:b/>
          <w:shd w:val="clear" w:color="auto" w:fill="FFFFFF"/>
        </w:rPr>
        <w:t xml:space="preserve">al de </w:t>
      </w:r>
      <w:r w:rsidR="006273E4" w:rsidRPr="006476DD">
        <w:rPr>
          <w:b/>
          <w:shd w:val="clear" w:color="auto" w:fill="FFFFFF"/>
        </w:rPr>
        <w:t>España</w:t>
      </w:r>
      <w:r w:rsidR="006273E4" w:rsidRPr="006476DD">
        <w:rPr>
          <w:shd w:val="clear" w:color="auto" w:fill="FFFFFF"/>
        </w:rPr>
        <w:t>.</w:t>
      </w:r>
      <w:r w:rsidRPr="00852B85">
        <w:rPr>
          <w:shd w:val="clear" w:color="auto" w:fill="FFFFFF"/>
        </w:rPr>
        <w:t xml:space="preserve"> </w:t>
      </w:r>
      <w:r w:rsidR="006273E4">
        <w:rPr>
          <w:shd w:val="clear" w:color="auto" w:fill="FFFFFF"/>
        </w:rPr>
        <w:t xml:space="preserve">Por su parte, siguiendo estos mismos parámetros, </w:t>
      </w:r>
      <w:r w:rsidRPr="00852B85">
        <w:rPr>
          <w:shd w:val="clear" w:color="auto" w:fill="FFFFFF"/>
        </w:rPr>
        <w:t>el gasto por legislador de</w:t>
      </w:r>
      <w:r w:rsidR="005218FD" w:rsidRPr="00852B85">
        <w:rPr>
          <w:shd w:val="clear" w:color="auto" w:fill="FFFFFF"/>
        </w:rPr>
        <w:t>l país europeo</w:t>
      </w:r>
      <w:r w:rsidR="006273E4">
        <w:rPr>
          <w:shd w:val="clear" w:color="auto" w:fill="FFFFFF"/>
        </w:rPr>
        <w:t>,</w:t>
      </w:r>
      <w:r w:rsidR="005218FD" w:rsidRPr="00852B85">
        <w:rPr>
          <w:shd w:val="clear" w:color="auto" w:fill="FFFFFF"/>
        </w:rPr>
        <w:t xml:space="preserve"> alca</w:t>
      </w:r>
      <w:r w:rsidR="00AA74E0">
        <w:rPr>
          <w:shd w:val="clear" w:color="auto" w:fill="FFFFFF"/>
        </w:rPr>
        <w:t>nza los $22,6</w:t>
      </w:r>
      <w:r w:rsidRPr="00852B85">
        <w:rPr>
          <w:shd w:val="clear" w:color="auto" w:fill="FFFFFF"/>
        </w:rPr>
        <w:t xml:space="preserve"> millones, es decir que el gasto ar</w:t>
      </w:r>
      <w:r w:rsidR="00A730C5" w:rsidRPr="00852B85">
        <w:rPr>
          <w:shd w:val="clear" w:color="auto" w:fill="FFFFFF"/>
        </w:rPr>
        <w:t>gentino por legislador más que duplica</w:t>
      </w:r>
      <w:r w:rsidR="00980E79">
        <w:rPr>
          <w:shd w:val="clear" w:color="auto" w:fill="FFFFFF"/>
        </w:rPr>
        <w:t xml:space="preserve"> al español en este escenario.</w:t>
      </w:r>
    </w:p>
    <w:p w:rsidR="00FB46D1" w:rsidRDefault="00FB46D1" w:rsidP="00FB46D1">
      <w:pPr>
        <w:contextualSpacing w:val="0"/>
        <w:jc w:val="both"/>
        <w:rPr>
          <w:shd w:val="clear" w:color="auto" w:fill="FFFFFF"/>
        </w:rPr>
      </w:pPr>
    </w:p>
    <w:p w:rsidR="00FB46D1" w:rsidRDefault="00FB46D1" w:rsidP="00FB46D1">
      <w:pPr>
        <w:contextualSpacing w:val="0"/>
        <w:jc w:val="both"/>
        <w:rPr>
          <w:shd w:val="clear" w:color="auto" w:fill="FFFFFF"/>
        </w:rPr>
      </w:pPr>
      <w:r w:rsidRPr="005218FD">
        <w:rPr>
          <w:shd w:val="clear" w:color="auto" w:fill="FFFFFF"/>
        </w:rPr>
        <w:t xml:space="preserve">Pasando a comparaciones más específicas entre provincias argentinas y comunidades españolas con </w:t>
      </w:r>
      <w:r w:rsidR="00F9025F" w:rsidRPr="005218FD">
        <w:rPr>
          <w:shd w:val="clear" w:color="auto" w:fill="FFFFFF"/>
        </w:rPr>
        <w:t>cantidades de legisladores</w:t>
      </w:r>
      <w:r w:rsidRPr="005218FD">
        <w:rPr>
          <w:shd w:val="clear" w:color="auto" w:fill="FFFFFF"/>
        </w:rPr>
        <w:t xml:space="preserve"> similares, se</w:t>
      </w:r>
      <w:r w:rsidR="00F9025F" w:rsidRPr="005218FD">
        <w:rPr>
          <w:shd w:val="clear" w:color="auto" w:fill="FFFFFF"/>
        </w:rPr>
        <w:t xml:space="preserve"> pueden dest</w:t>
      </w:r>
      <w:r w:rsidR="00ED58DB">
        <w:rPr>
          <w:shd w:val="clear" w:color="auto" w:fill="FFFFFF"/>
        </w:rPr>
        <w:t xml:space="preserve">acar los casos de Tucumán ($134,6 millones) y Murcia </w:t>
      </w:r>
      <w:r w:rsidR="008043D3">
        <w:rPr>
          <w:shd w:val="clear" w:color="auto" w:fill="FFFFFF"/>
        </w:rPr>
        <w:t>($25</w:t>
      </w:r>
      <w:r w:rsidRPr="00880C9B">
        <w:rPr>
          <w:shd w:val="clear" w:color="auto" w:fill="FFFFFF"/>
        </w:rPr>
        <w:t xml:space="preserve"> millones),</w:t>
      </w:r>
      <w:r w:rsidRPr="005218FD">
        <w:rPr>
          <w:shd w:val="clear" w:color="auto" w:fill="FFFFFF"/>
        </w:rPr>
        <w:t xml:space="preserve"> </w:t>
      </w:r>
      <w:r w:rsidR="00A730C5">
        <w:rPr>
          <w:shd w:val="clear" w:color="auto" w:fill="FFFFFF"/>
        </w:rPr>
        <w:t xml:space="preserve">donde </w:t>
      </w:r>
      <w:r w:rsidRPr="005218FD">
        <w:rPr>
          <w:shd w:val="clear" w:color="auto" w:fill="FFFFFF"/>
        </w:rPr>
        <w:t>el costo de un legislado</w:t>
      </w:r>
      <w:r w:rsidR="00F9025F" w:rsidRPr="005218FD">
        <w:rPr>
          <w:shd w:val="clear" w:color="auto" w:fill="FFFFFF"/>
        </w:rPr>
        <w:t xml:space="preserve">r de la provincia tucumana </w:t>
      </w:r>
      <w:r w:rsidR="006D0443" w:rsidRPr="005218FD">
        <w:rPr>
          <w:shd w:val="clear" w:color="auto" w:fill="FFFFFF"/>
        </w:rPr>
        <w:t>es</w:t>
      </w:r>
      <w:r w:rsidR="008043D3">
        <w:rPr>
          <w:shd w:val="clear" w:color="auto" w:fill="FFFFFF"/>
        </w:rPr>
        <w:t xml:space="preserve"> 5,4</w:t>
      </w:r>
      <w:r w:rsidR="006D0443" w:rsidRPr="005218FD">
        <w:rPr>
          <w:shd w:val="clear" w:color="auto" w:fill="FFFFFF"/>
        </w:rPr>
        <w:t xml:space="preserve"> veces mayor</w:t>
      </w:r>
      <w:r w:rsidRPr="005218FD">
        <w:rPr>
          <w:shd w:val="clear" w:color="auto" w:fill="FFFFFF"/>
        </w:rPr>
        <w:t xml:space="preserve"> </w:t>
      </w:r>
      <w:r w:rsidR="00F9025F" w:rsidRPr="005218FD">
        <w:rPr>
          <w:shd w:val="clear" w:color="auto" w:fill="FFFFFF"/>
        </w:rPr>
        <w:t xml:space="preserve">al </w:t>
      </w:r>
      <w:r w:rsidRPr="005218FD">
        <w:rPr>
          <w:shd w:val="clear" w:color="auto" w:fill="FFFFFF"/>
        </w:rPr>
        <w:t>de su par española.</w:t>
      </w:r>
      <w:r w:rsidR="00F9025F" w:rsidRPr="005218FD">
        <w:rPr>
          <w:shd w:val="clear" w:color="auto" w:fill="FFFFFF"/>
        </w:rPr>
        <w:t xml:space="preserve"> </w:t>
      </w:r>
      <w:r w:rsidR="006D0443" w:rsidRPr="00ED58DB">
        <w:rPr>
          <w:shd w:val="clear" w:color="auto" w:fill="FFFFFF"/>
        </w:rPr>
        <w:t>Otra diferencia considerable se da entre la provincia de Buenos Aires y la Comunidad de Ma</w:t>
      </w:r>
      <w:r w:rsidR="00880C9B">
        <w:rPr>
          <w:shd w:val="clear" w:color="auto" w:fill="FFFFFF"/>
        </w:rPr>
        <w:t>drid, aquí la primera más que tri</w:t>
      </w:r>
      <w:r w:rsidR="006D0443" w:rsidRPr="00ED58DB">
        <w:rPr>
          <w:shd w:val="clear" w:color="auto" w:fill="FFFFFF"/>
        </w:rPr>
        <w:t xml:space="preserve">plica a la </w:t>
      </w:r>
      <w:r w:rsidR="006D0443" w:rsidRPr="00695466">
        <w:rPr>
          <w:shd w:val="clear" w:color="auto" w:fill="FFFFFF"/>
        </w:rPr>
        <w:t>segu</w:t>
      </w:r>
      <w:r w:rsidR="008043D3" w:rsidRPr="00695466">
        <w:rPr>
          <w:shd w:val="clear" w:color="auto" w:fill="FFFFFF"/>
        </w:rPr>
        <w:t>nda</w:t>
      </w:r>
      <w:r w:rsidR="00956F6E" w:rsidRPr="00695466">
        <w:rPr>
          <w:shd w:val="clear" w:color="auto" w:fill="FFFFFF"/>
        </w:rPr>
        <w:t xml:space="preserve"> (aún con datos del Presupuesto 2019)</w:t>
      </w:r>
      <w:r w:rsidR="008043D3" w:rsidRPr="00695466">
        <w:rPr>
          <w:shd w:val="clear" w:color="auto" w:fill="FFFFFF"/>
        </w:rPr>
        <w:t>,</w:t>
      </w:r>
      <w:r w:rsidR="008043D3">
        <w:rPr>
          <w:shd w:val="clear" w:color="auto" w:fill="FFFFFF"/>
        </w:rPr>
        <w:t xml:space="preserve"> con gastos de $64,5 y $20,9</w:t>
      </w:r>
      <w:r w:rsidR="006D0443" w:rsidRPr="00ED58DB">
        <w:rPr>
          <w:shd w:val="clear" w:color="auto" w:fill="FFFFFF"/>
        </w:rPr>
        <w:t xml:space="preserve"> millones respectivamente.</w:t>
      </w:r>
      <w:r w:rsidR="006D0443" w:rsidRPr="005218FD">
        <w:rPr>
          <w:shd w:val="clear" w:color="auto" w:fill="FFFFFF"/>
        </w:rPr>
        <w:t xml:space="preserve"> También, vale mencionar el contraste que se da entre</w:t>
      </w:r>
      <w:r w:rsidR="00913177">
        <w:rPr>
          <w:shd w:val="clear" w:color="auto" w:fill="FFFFFF"/>
        </w:rPr>
        <w:t xml:space="preserve"> Chaco y </w:t>
      </w:r>
      <w:r w:rsidR="005A0F7B">
        <w:rPr>
          <w:shd w:val="clear" w:color="auto" w:fill="FFFFFF"/>
        </w:rPr>
        <w:t>Cantabria</w:t>
      </w:r>
      <w:r w:rsidRPr="005218FD">
        <w:rPr>
          <w:shd w:val="clear" w:color="auto" w:fill="FFFFFF"/>
        </w:rPr>
        <w:t xml:space="preserve">, </w:t>
      </w:r>
      <w:r w:rsidR="006D0443" w:rsidRPr="005218FD">
        <w:rPr>
          <w:shd w:val="clear" w:color="auto" w:fill="FFFFFF"/>
        </w:rPr>
        <w:t xml:space="preserve">donde la jurisdicción argentina </w:t>
      </w:r>
      <w:r w:rsidR="007E6B4C">
        <w:rPr>
          <w:shd w:val="clear" w:color="auto" w:fill="FFFFFF"/>
        </w:rPr>
        <w:t>gasta 5,2</w:t>
      </w:r>
      <w:bookmarkStart w:id="1" w:name="_GoBack"/>
      <w:bookmarkEnd w:id="1"/>
      <w:r w:rsidR="006D0443" w:rsidRPr="005218FD">
        <w:rPr>
          <w:shd w:val="clear" w:color="auto" w:fill="FFFFFF"/>
        </w:rPr>
        <w:t xml:space="preserve"> veces más que la española</w:t>
      </w:r>
      <w:r w:rsidR="00F9025F" w:rsidRPr="005218FD">
        <w:rPr>
          <w:shd w:val="clear" w:color="auto" w:fill="FFFFFF"/>
        </w:rPr>
        <w:t xml:space="preserve"> (</w:t>
      </w:r>
      <w:r w:rsidR="00ED58DB">
        <w:rPr>
          <w:shd w:val="clear" w:color="auto" w:fill="FFFFFF"/>
        </w:rPr>
        <w:t>$102,9</w:t>
      </w:r>
      <w:r w:rsidR="006D0443" w:rsidRPr="005218FD">
        <w:rPr>
          <w:shd w:val="clear" w:color="auto" w:fill="FFFFFF"/>
        </w:rPr>
        <w:t xml:space="preserve"> y </w:t>
      </w:r>
      <w:r w:rsidR="008043D3">
        <w:rPr>
          <w:shd w:val="clear" w:color="auto" w:fill="FFFFFF"/>
        </w:rPr>
        <w:t>$19,8</w:t>
      </w:r>
      <w:r w:rsidRPr="005218FD">
        <w:rPr>
          <w:shd w:val="clear" w:color="auto" w:fill="FFFFFF"/>
        </w:rPr>
        <w:t xml:space="preserve"> millones</w:t>
      </w:r>
      <w:r w:rsidR="006D0443" w:rsidRPr="005218FD">
        <w:rPr>
          <w:shd w:val="clear" w:color="auto" w:fill="FFFFFF"/>
        </w:rPr>
        <w:t xml:space="preserve"> respectivamente</w:t>
      </w:r>
      <w:r w:rsidRPr="005218FD">
        <w:rPr>
          <w:shd w:val="clear" w:color="auto" w:fill="FFFFFF"/>
        </w:rPr>
        <w:t>).</w:t>
      </w:r>
      <w:r>
        <w:rPr>
          <w:shd w:val="clear" w:color="auto" w:fill="FFFFFF"/>
        </w:rPr>
        <w:t xml:space="preserve"> </w:t>
      </w:r>
    </w:p>
    <w:p w:rsidR="006D0443" w:rsidRDefault="006D0443" w:rsidP="00FB46D1">
      <w:pPr>
        <w:contextualSpacing w:val="0"/>
        <w:jc w:val="both"/>
        <w:rPr>
          <w:shd w:val="clear" w:color="auto" w:fill="FFFFFF"/>
        </w:rPr>
      </w:pPr>
    </w:p>
    <w:p w:rsidR="0004357F" w:rsidRPr="007743AC" w:rsidRDefault="00FB46D1" w:rsidP="00FB46D1">
      <w:pPr>
        <w:contextualSpacing w:val="0"/>
        <w:jc w:val="both"/>
        <w:rPr>
          <w:shd w:val="clear" w:color="auto" w:fill="FFFFFF"/>
        </w:rPr>
      </w:pPr>
      <w:r w:rsidRPr="00ED58DB">
        <w:rPr>
          <w:shd w:val="clear" w:color="auto" w:fill="FFFFFF"/>
        </w:rPr>
        <w:t xml:space="preserve">En </w:t>
      </w:r>
      <w:r w:rsidR="00B56A06">
        <w:rPr>
          <w:shd w:val="clear" w:color="auto" w:fill="FFFFFF"/>
        </w:rPr>
        <w:t>efecto</w:t>
      </w:r>
      <w:r w:rsidRPr="00ED58DB">
        <w:rPr>
          <w:shd w:val="clear" w:color="auto" w:fill="FFFFFF"/>
        </w:rPr>
        <w:t xml:space="preserve">, </w:t>
      </w:r>
      <w:r w:rsidR="00440BED" w:rsidRPr="00ED58DB">
        <w:rPr>
          <w:shd w:val="clear" w:color="auto" w:fill="FFFFFF"/>
        </w:rPr>
        <w:t>los datos anteriores ponen de manifiesto</w:t>
      </w:r>
      <w:r w:rsidR="00B21942" w:rsidRPr="00ED58DB">
        <w:rPr>
          <w:shd w:val="clear" w:color="auto" w:fill="FFFFFF"/>
        </w:rPr>
        <w:t xml:space="preserve"> el elevado costo de las legislaturas provinciales -más aún cuando se efectúa una comparación internacional - y las significativas diferencias entre provincias.</w:t>
      </w:r>
      <w:r w:rsidR="00B21942">
        <w:rPr>
          <w:shd w:val="clear" w:color="auto" w:fill="FFFFFF"/>
        </w:rPr>
        <w:t xml:space="preserve"> A la vez</w:t>
      </w:r>
      <w:r w:rsidR="004B0A0D">
        <w:rPr>
          <w:shd w:val="clear" w:color="auto" w:fill="FFFFFF"/>
        </w:rPr>
        <w:t xml:space="preserve">, la participación del gasto en el </w:t>
      </w:r>
      <w:r w:rsidR="00B21942">
        <w:rPr>
          <w:shd w:val="clear" w:color="auto" w:fill="FFFFFF"/>
        </w:rPr>
        <w:t>Poder Legislativo dentro de los presupuestos provinciales</w:t>
      </w:r>
      <w:r w:rsidR="004B0A0D">
        <w:rPr>
          <w:shd w:val="clear" w:color="auto" w:fill="FFFFFF"/>
        </w:rPr>
        <w:t>,</w:t>
      </w:r>
      <w:r w:rsidR="00B21942">
        <w:rPr>
          <w:shd w:val="clear" w:color="auto" w:fill="FFFFFF"/>
        </w:rPr>
        <w:t xml:space="preserve"> adquiere relevancia cuando se lo contrasta con otras erogac</w:t>
      </w:r>
      <w:r w:rsidR="00A730C5">
        <w:rPr>
          <w:shd w:val="clear" w:color="auto" w:fill="FFFFFF"/>
        </w:rPr>
        <w:t>iones de las provincias, ya sean</w:t>
      </w:r>
      <w:r w:rsidR="00B21942">
        <w:rPr>
          <w:shd w:val="clear" w:color="auto" w:fill="FFFFFF"/>
        </w:rPr>
        <w:t xml:space="preserve"> en materia de</w:t>
      </w:r>
      <w:r w:rsidR="00A730C5">
        <w:rPr>
          <w:shd w:val="clear" w:color="auto" w:fill="FFFFFF"/>
        </w:rPr>
        <w:t xml:space="preserve"> producción, desarrollo social u obra pública y </w:t>
      </w:r>
      <w:r w:rsidR="00165052">
        <w:rPr>
          <w:shd w:val="clear" w:color="auto" w:fill="FFFFFF"/>
        </w:rPr>
        <w:t>cuando</w:t>
      </w:r>
      <w:r w:rsidR="00C05A46">
        <w:rPr>
          <w:shd w:val="clear" w:color="auto" w:fill="FFFFFF"/>
        </w:rPr>
        <w:t xml:space="preserve"> se percibe que</w:t>
      </w:r>
      <w:r w:rsidR="00165052">
        <w:rPr>
          <w:shd w:val="clear" w:color="auto" w:fill="FFFFFF"/>
        </w:rPr>
        <w:t xml:space="preserve"> </w:t>
      </w:r>
      <w:r w:rsidR="00B61876">
        <w:rPr>
          <w:shd w:val="clear" w:color="auto" w:fill="FFFFFF"/>
        </w:rPr>
        <w:t>los legisladores</w:t>
      </w:r>
      <w:r w:rsidR="00B2263B">
        <w:rPr>
          <w:shd w:val="clear" w:color="auto" w:fill="FFFFFF"/>
        </w:rPr>
        <w:t xml:space="preserve"> </w:t>
      </w:r>
      <w:r w:rsidR="00B61876">
        <w:rPr>
          <w:shd w:val="clear" w:color="auto" w:fill="FFFFFF"/>
        </w:rPr>
        <w:t xml:space="preserve">presentan </w:t>
      </w:r>
      <w:r w:rsidR="002270E2">
        <w:rPr>
          <w:shd w:val="clear" w:color="auto" w:fill="FFFFFF"/>
        </w:rPr>
        <w:t xml:space="preserve">proyectos </w:t>
      </w:r>
      <w:r w:rsidR="00165052">
        <w:rPr>
          <w:shd w:val="clear" w:color="auto" w:fill="FFFFFF"/>
        </w:rPr>
        <w:t>que</w:t>
      </w:r>
      <w:r w:rsidR="00C05A46">
        <w:rPr>
          <w:shd w:val="clear" w:color="auto" w:fill="FFFFFF"/>
        </w:rPr>
        <w:t xml:space="preserve"> </w:t>
      </w:r>
      <w:r w:rsidR="00A730C5">
        <w:rPr>
          <w:shd w:val="clear" w:color="auto" w:fill="FFFFFF"/>
        </w:rPr>
        <w:t>no tiende</w:t>
      </w:r>
      <w:r w:rsidR="00165052" w:rsidRPr="00784026">
        <w:rPr>
          <w:shd w:val="clear" w:color="auto" w:fill="FFFFFF"/>
        </w:rPr>
        <w:t>n a resolver las innumerables problemáticas que aquejan a nuestr</w:t>
      </w:r>
      <w:r w:rsidR="002270E2" w:rsidRPr="00784026">
        <w:rPr>
          <w:shd w:val="clear" w:color="auto" w:fill="FFFFFF"/>
        </w:rPr>
        <w:t>a sociedad</w:t>
      </w:r>
      <w:r w:rsidR="00B61876" w:rsidRPr="00784026">
        <w:rPr>
          <w:shd w:val="clear" w:color="auto" w:fill="FFFFFF"/>
        </w:rPr>
        <w:t>.</w:t>
      </w:r>
      <w:r w:rsidR="004B0A0D">
        <w:rPr>
          <w:shd w:val="clear" w:color="auto" w:fill="FFFFFF"/>
        </w:rPr>
        <w:t xml:space="preserve"> </w:t>
      </w:r>
    </w:p>
    <w:p w:rsidR="00165052" w:rsidRPr="00ED58DB" w:rsidRDefault="00165052" w:rsidP="00FB46D1">
      <w:pPr>
        <w:contextualSpacing w:val="0"/>
        <w:jc w:val="both"/>
        <w:rPr>
          <w:shd w:val="clear" w:color="auto" w:fill="FFFFFF"/>
        </w:rPr>
      </w:pPr>
    </w:p>
    <w:p w:rsidR="00D627EE" w:rsidRDefault="00B56A06">
      <w:pPr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>E</w:t>
      </w:r>
      <w:r w:rsidR="0093020F">
        <w:rPr>
          <w:shd w:val="clear" w:color="auto" w:fill="FFFFFF"/>
        </w:rPr>
        <w:t xml:space="preserve">l excesivo </w:t>
      </w:r>
      <w:r w:rsidR="00F07558">
        <w:rPr>
          <w:shd w:val="clear" w:color="auto" w:fill="FFFFFF"/>
        </w:rPr>
        <w:t>costo</w:t>
      </w:r>
      <w:r w:rsidR="0093020F">
        <w:rPr>
          <w:shd w:val="clear" w:color="auto" w:fill="FFFFFF"/>
        </w:rPr>
        <w:t xml:space="preserve"> </w:t>
      </w:r>
      <w:r w:rsidR="00F07558">
        <w:rPr>
          <w:shd w:val="clear" w:color="auto" w:fill="FFFFFF"/>
        </w:rPr>
        <w:t>que</w:t>
      </w:r>
      <w:r w:rsidR="0093020F">
        <w:rPr>
          <w:shd w:val="clear" w:color="auto" w:fill="FFFFFF"/>
        </w:rPr>
        <w:t xml:space="preserve"> las legislaturas</w:t>
      </w:r>
      <w:r w:rsidR="00F07558">
        <w:rPr>
          <w:shd w:val="clear" w:color="auto" w:fill="FFFFFF"/>
        </w:rPr>
        <w:t xml:space="preserve"> provinciales tienen para todos los contribuyentes</w:t>
      </w:r>
      <w:r>
        <w:rPr>
          <w:shd w:val="clear" w:color="auto" w:fill="FFFFFF"/>
        </w:rPr>
        <w:t xml:space="preserve"> cobra mayor relevancia en la compleja</w:t>
      </w:r>
      <w:r w:rsidR="00F07558">
        <w:rPr>
          <w:shd w:val="clear" w:color="auto" w:fill="FFFFFF"/>
        </w:rPr>
        <w:t xml:space="preserve"> e incierta </w:t>
      </w:r>
      <w:r>
        <w:rPr>
          <w:shd w:val="clear" w:color="auto" w:fill="FFFFFF"/>
        </w:rPr>
        <w:t xml:space="preserve">coyuntura. </w:t>
      </w:r>
      <w:r w:rsidR="00165052" w:rsidRPr="00773577">
        <w:rPr>
          <w:shd w:val="clear" w:color="auto" w:fill="FFFFFF"/>
        </w:rPr>
        <w:t>En un contexto</w:t>
      </w:r>
      <w:r w:rsidR="009B4C7C">
        <w:rPr>
          <w:shd w:val="clear" w:color="auto" w:fill="FFFFFF"/>
        </w:rPr>
        <w:t xml:space="preserve"> económico</w:t>
      </w:r>
      <w:r w:rsidR="00165052" w:rsidRPr="00773577">
        <w:rPr>
          <w:shd w:val="clear" w:color="auto" w:fill="FFFFFF"/>
        </w:rPr>
        <w:t xml:space="preserve"> </w:t>
      </w:r>
      <w:r w:rsidR="0004357F" w:rsidRPr="00773577">
        <w:rPr>
          <w:shd w:val="clear" w:color="auto" w:fill="FFFFFF"/>
        </w:rPr>
        <w:t>completamente adverso,</w:t>
      </w:r>
      <w:r w:rsidR="00F07558">
        <w:rPr>
          <w:shd w:val="clear" w:color="auto" w:fill="FFFFFF"/>
        </w:rPr>
        <w:t xml:space="preserve"> repleto de restricciones (incluso impedimentos) para la actividad privada, </w:t>
      </w:r>
      <w:r w:rsidR="0004357F" w:rsidRPr="00773577">
        <w:rPr>
          <w:shd w:val="clear" w:color="auto" w:fill="FFFFFF"/>
        </w:rPr>
        <w:t xml:space="preserve"> donde se espera una caída del producto de más </w:t>
      </w:r>
      <w:r>
        <w:rPr>
          <w:shd w:val="clear" w:color="auto" w:fill="FFFFFF"/>
        </w:rPr>
        <w:t>de 10 puntos, una inflación que a pesar de la contracción económica</w:t>
      </w:r>
      <w:r w:rsidR="0004357F" w:rsidRPr="00773577">
        <w:rPr>
          <w:shd w:val="clear" w:color="auto" w:fill="FFFFFF"/>
        </w:rPr>
        <w:t xml:space="preserve"> continúa siendo elevada, </w:t>
      </w:r>
      <w:r w:rsidR="0004357F">
        <w:rPr>
          <w:shd w:val="clear" w:color="auto" w:fill="FFFFFF"/>
        </w:rPr>
        <w:t>un deterioro total de</w:t>
      </w:r>
      <w:r>
        <w:rPr>
          <w:shd w:val="clear" w:color="auto" w:fill="FFFFFF"/>
        </w:rPr>
        <w:t xml:space="preserve"> las cuentas públicas y creciente nivel de pobreza, es que r</w:t>
      </w:r>
      <w:r w:rsidR="004C5ABB">
        <w:rPr>
          <w:shd w:val="clear" w:color="auto" w:fill="FFFFFF"/>
        </w:rPr>
        <w:t xml:space="preserve">esulta incomprensible </w:t>
      </w:r>
      <w:r>
        <w:rPr>
          <w:shd w:val="clear" w:color="auto" w:fill="FFFFFF"/>
        </w:rPr>
        <w:t xml:space="preserve">que </w:t>
      </w:r>
      <w:r w:rsidR="004C5ABB">
        <w:rPr>
          <w:shd w:val="clear" w:color="auto" w:fill="FFFFFF"/>
        </w:rPr>
        <w:t xml:space="preserve">la clase política </w:t>
      </w:r>
      <w:r w:rsidR="00D627EE">
        <w:rPr>
          <w:shd w:val="clear" w:color="auto" w:fill="FFFFFF"/>
        </w:rPr>
        <w:t xml:space="preserve">–que se amplía a otros niveles de gobierno- </w:t>
      </w:r>
      <w:r w:rsidR="004C5ABB">
        <w:rPr>
          <w:shd w:val="clear" w:color="auto" w:fill="FFFFFF"/>
        </w:rPr>
        <w:t>permanezca ajena a esta</w:t>
      </w:r>
      <w:r>
        <w:rPr>
          <w:shd w:val="clear" w:color="auto" w:fill="FFFFFF"/>
        </w:rPr>
        <w:t xml:space="preserve"> realidad sin </w:t>
      </w:r>
      <w:r w:rsidR="00F07558">
        <w:rPr>
          <w:shd w:val="clear" w:color="auto" w:fill="FFFFFF"/>
        </w:rPr>
        <w:t xml:space="preserve">haber adoptado una contundente reducción de sus gastos. </w:t>
      </w:r>
      <w:r>
        <w:rPr>
          <w:shd w:val="clear" w:color="auto" w:fill="FFFFFF"/>
        </w:rPr>
        <w:t xml:space="preserve">En muy pocos </w:t>
      </w:r>
      <w:r w:rsidR="004E144B">
        <w:rPr>
          <w:shd w:val="clear" w:color="auto" w:fill="FFFFFF"/>
        </w:rPr>
        <w:t>casos</w:t>
      </w:r>
      <w:r w:rsidR="00F07558">
        <w:rPr>
          <w:shd w:val="clear" w:color="auto" w:fill="FFFFFF"/>
        </w:rPr>
        <w:t xml:space="preserve"> -</w:t>
      </w:r>
      <w:r>
        <w:rPr>
          <w:shd w:val="clear" w:color="auto" w:fill="FFFFFF"/>
        </w:rPr>
        <w:t>tales como</w:t>
      </w:r>
      <w:r w:rsidR="00F07558">
        <w:rPr>
          <w:shd w:val="clear" w:color="auto" w:fill="FFFFFF"/>
        </w:rPr>
        <w:t xml:space="preserve"> en</w:t>
      </w:r>
      <w:r>
        <w:rPr>
          <w:shd w:val="clear" w:color="auto" w:fill="FFFFFF"/>
        </w:rPr>
        <w:t xml:space="preserve"> </w:t>
      </w:r>
      <w:r w:rsidR="004E144B">
        <w:rPr>
          <w:shd w:val="clear" w:color="auto" w:fill="FFFFFF"/>
        </w:rPr>
        <w:t>Santa Fe, Córdoba, Mendoza, Entre Ríos, La Rioja y Ciudad de Buenos Aires</w:t>
      </w:r>
      <w:r w:rsidR="00F07558">
        <w:rPr>
          <w:shd w:val="clear" w:color="auto" w:fill="FFFFFF"/>
        </w:rPr>
        <w:t>-</w:t>
      </w:r>
      <w:r w:rsidR="004E144B">
        <w:rPr>
          <w:shd w:val="clear" w:color="auto" w:fill="FFFFFF"/>
        </w:rPr>
        <w:t xml:space="preserve">, </w:t>
      </w:r>
      <w:r w:rsidR="00F07558">
        <w:rPr>
          <w:shd w:val="clear" w:color="auto" w:fill="FFFFFF"/>
        </w:rPr>
        <w:t xml:space="preserve">las </w:t>
      </w:r>
      <w:r w:rsidR="004E144B">
        <w:rPr>
          <w:shd w:val="clear" w:color="auto" w:fill="FFFFFF"/>
        </w:rPr>
        <w:t xml:space="preserve">legislaturas redujeron sus sueldos para crear fondos de apoyo económico para combatir la </w:t>
      </w:r>
      <w:r w:rsidR="004E144B">
        <w:rPr>
          <w:shd w:val="clear" w:color="auto" w:fill="FFFFFF"/>
        </w:rPr>
        <w:lastRenderedPageBreak/>
        <w:t>pandemia</w:t>
      </w:r>
      <w:bookmarkStart w:id="2" w:name="_30j0zll" w:colFirst="0" w:colLast="0"/>
      <w:bookmarkStart w:id="3" w:name="_rx0fplv9bhd7" w:colFirst="0" w:colLast="0"/>
      <w:bookmarkEnd w:id="2"/>
      <w:bookmarkEnd w:id="3"/>
      <w:r w:rsidR="00D627EE">
        <w:rPr>
          <w:shd w:val="clear" w:color="auto" w:fill="FFFFFF"/>
        </w:rPr>
        <w:t xml:space="preserve">. Medidas insuficientes y que, en muchos casos, llegaron en respuestas a reclamos de la sociedad. </w:t>
      </w:r>
    </w:p>
    <w:p w:rsidR="00D627EE" w:rsidRDefault="00D627EE">
      <w:pPr>
        <w:contextualSpacing w:val="0"/>
        <w:jc w:val="both"/>
        <w:rPr>
          <w:shd w:val="clear" w:color="auto" w:fill="FFFFFF"/>
        </w:rPr>
      </w:pPr>
    </w:p>
    <w:p w:rsidR="00D627EE" w:rsidRPr="00ED58DB" w:rsidRDefault="00D627EE">
      <w:pPr>
        <w:contextualSpacing w:val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Una vez más, vale insistir en la necesidad imperiosa que la dirigencia política sea más responsable y austera en el uso de los limitados recursos públicos. </w:t>
      </w:r>
    </w:p>
    <w:sectPr w:rsidR="00D627EE" w:rsidRPr="00ED58DB" w:rsidSect="00A56247">
      <w:headerReference w:type="default" r:id="rId9"/>
      <w:footerReference w:type="default" r:id="rId10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114" w:rsidRDefault="00B97114">
      <w:pPr>
        <w:spacing w:line="240" w:lineRule="auto"/>
      </w:pPr>
      <w:r>
        <w:separator/>
      </w:r>
    </w:p>
  </w:endnote>
  <w:endnote w:type="continuationSeparator" w:id="0">
    <w:p w:rsidR="00B97114" w:rsidRDefault="00B97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847260"/>
      <w:docPartObj>
        <w:docPartGallery w:val="Page Numbers (Bottom of Page)"/>
        <w:docPartUnique/>
      </w:docPartObj>
    </w:sdtPr>
    <w:sdtEndPr/>
    <w:sdtContent>
      <w:p w:rsidR="00F07558" w:rsidRDefault="00676FE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8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07558" w:rsidRDefault="00F07558">
    <w:pPr>
      <w:spacing w:line="240" w:lineRule="auto"/>
      <w:contextualSpacing w:val="0"/>
      <w:jc w:val="right"/>
      <w:rPr>
        <w:color w:val="0000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114" w:rsidRDefault="00B97114">
      <w:pPr>
        <w:spacing w:line="240" w:lineRule="auto"/>
      </w:pPr>
      <w:r>
        <w:separator/>
      </w:r>
    </w:p>
  </w:footnote>
  <w:footnote w:type="continuationSeparator" w:id="0">
    <w:p w:rsidR="00B97114" w:rsidRDefault="00B97114">
      <w:pPr>
        <w:spacing w:line="240" w:lineRule="auto"/>
      </w:pPr>
      <w:r>
        <w:continuationSeparator/>
      </w:r>
    </w:p>
  </w:footnote>
  <w:footnote w:id="1">
    <w:p w:rsidR="00F07558" w:rsidRPr="004844C3" w:rsidRDefault="00F07558" w:rsidP="00F23E26">
      <w:pPr>
        <w:pStyle w:val="Textonotapie"/>
        <w:jc w:val="both"/>
        <w:rPr>
          <w:sz w:val="16"/>
          <w:szCs w:val="16"/>
        </w:rPr>
      </w:pPr>
      <w:r w:rsidRPr="004844C3">
        <w:rPr>
          <w:rStyle w:val="Refdenotaalpie"/>
          <w:sz w:val="16"/>
          <w:szCs w:val="16"/>
        </w:rPr>
        <w:footnoteRef/>
      </w:r>
      <w:r w:rsidRPr="004844C3">
        <w:rPr>
          <w:sz w:val="16"/>
          <w:szCs w:val="16"/>
        </w:rPr>
        <w:t xml:space="preserve"> Para las provincias de</w:t>
      </w:r>
      <w:r>
        <w:rPr>
          <w:sz w:val="16"/>
          <w:szCs w:val="16"/>
        </w:rPr>
        <w:t xml:space="preserve"> Buenos Aires, Catamarca, Salta y Formosa se tomaron  los presupuestos del año 2019  al no poseer presupuestos aprobados para el ejercicio 2020</w:t>
      </w:r>
      <w:r w:rsidRPr="004844C3">
        <w:rPr>
          <w:sz w:val="16"/>
          <w:szCs w:val="16"/>
        </w:rPr>
        <w:t>.</w:t>
      </w:r>
    </w:p>
  </w:footnote>
  <w:footnote w:id="2">
    <w:p w:rsidR="00F07558" w:rsidRPr="0053613C" w:rsidRDefault="00F07558" w:rsidP="00FB46D1">
      <w:pPr>
        <w:pStyle w:val="Textonotapie"/>
        <w:rPr>
          <w:sz w:val="16"/>
          <w:szCs w:val="16"/>
        </w:rPr>
      </w:pPr>
      <w:r w:rsidRPr="0053613C">
        <w:rPr>
          <w:rStyle w:val="Refdenotaalpie"/>
          <w:sz w:val="16"/>
          <w:szCs w:val="16"/>
        </w:rPr>
        <w:footnoteRef/>
      </w:r>
      <w:r w:rsidRPr="0053613C">
        <w:rPr>
          <w:sz w:val="16"/>
          <w:szCs w:val="16"/>
        </w:rPr>
        <w:t xml:space="preserve"> Para el análisis no se tuvo en cuenta a la</w:t>
      </w:r>
      <w:r>
        <w:rPr>
          <w:sz w:val="16"/>
          <w:szCs w:val="16"/>
        </w:rPr>
        <w:t>s</w:t>
      </w:r>
      <w:r w:rsidRPr="0053613C">
        <w:rPr>
          <w:sz w:val="16"/>
          <w:szCs w:val="16"/>
        </w:rPr>
        <w:t xml:space="preserve"> Ciudad</w:t>
      </w:r>
      <w:r>
        <w:rPr>
          <w:sz w:val="16"/>
          <w:szCs w:val="16"/>
        </w:rPr>
        <w:t>es</w:t>
      </w:r>
      <w:r w:rsidRPr="0053613C">
        <w:rPr>
          <w:sz w:val="16"/>
          <w:szCs w:val="16"/>
        </w:rPr>
        <w:t xml:space="preserve"> Autónoma</w:t>
      </w:r>
      <w:r>
        <w:rPr>
          <w:sz w:val="16"/>
          <w:szCs w:val="16"/>
        </w:rPr>
        <w:t>s</w:t>
      </w:r>
      <w:r w:rsidRPr="0053613C">
        <w:rPr>
          <w:sz w:val="16"/>
          <w:szCs w:val="16"/>
        </w:rPr>
        <w:t xml:space="preserve"> de Ceuta</w:t>
      </w:r>
      <w:r>
        <w:rPr>
          <w:sz w:val="16"/>
          <w:szCs w:val="16"/>
        </w:rPr>
        <w:t xml:space="preserve"> y Melilla.</w:t>
      </w:r>
      <w:r w:rsidRPr="0053613C">
        <w:rPr>
          <w:sz w:val="16"/>
          <w:szCs w:val="16"/>
        </w:rPr>
        <w:t xml:space="preserve"> </w:t>
      </w:r>
    </w:p>
  </w:footnote>
  <w:footnote w:id="3">
    <w:p w:rsidR="00F07558" w:rsidRPr="00852B85" w:rsidRDefault="00F07558" w:rsidP="00FB46D1">
      <w:pPr>
        <w:pStyle w:val="Textonotapie"/>
        <w:rPr>
          <w:sz w:val="18"/>
          <w:szCs w:val="16"/>
        </w:rPr>
      </w:pPr>
      <w:r w:rsidRPr="00852B85">
        <w:rPr>
          <w:rStyle w:val="Refdenotaalpie"/>
          <w:szCs w:val="16"/>
        </w:rPr>
        <w:footnoteRef/>
      </w:r>
      <w:r w:rsidRPr="00852B85">
        <w:rPr>
          <w:sz w:val="18"/>
          <w:szCs w:val="16"/>
        </w:rPr>
        <w:t xml:space="preserve"> Cotización del BCRA al </w:t>
      </w:r>
      <w:r>
        <w:rPr>
          <w:sz w:val="18"/>
          <w:szCs w:val="16"/>
        </w:rPr>
        <w:t>07/08/2020 (1 Euro=85,74</w:t>
      </w:r>
      <w:r w:rsidRPr="00852B85">
        <w:rPr>
          <w:sz w:val="18"/>
          <w:szCs w:val="16"/>
        </w:rPr>
        <w:t>Pesos).</w:t>
      </w:r>
    </w:p>
  </w:footnote>
  <w:footnote w:id="4">
    <w:p w:rsidR="00F07558" w:rsidRPr="0053613C" w:rsidRDefault="00F07558" w:rsidP="00FB46D1">
      <w:pPr>
        <w:pStyle w:val="Textonotapie"/>
        <w:rPr>
          <w:sz w:val="16"/>
          <w:szCs w:val="16"/>
        </w:rPr>
      </w:pPr>
      <w:r w:rsidRPr="00852B85">
        <w:rPr>
          <w:rStyle w:val="Refdenotaalpie"/>
          <w:szCs w:val="16"/>
        </w:rPr>
        <w:footnoteRef/>
      </w:r>
      <w:r w:rsidRPr="00852B85">
        <w:rPr>
          <w:sz w:val="18"/>
          <w:szCs w:val="16"/>
        </w:rPr>
        <w:t xml:space="preserve"> Cotización del BCRA al 31/12/2019 (1 Euro=67,23 Pesos)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558" w:rsidRDefault="00F07558">
    <w:pPr>
      <w:contextualSpacing w:val="0"/>
      <w:jc w:val="right"/>
    </w:pPr>
    <w:r>
      <w:t xml:space="preserve">                 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29"/>
    <w:rsid w:val="000046C4"/>
    <w:rsid w:val="00021AB6"/>
    <w:rsid w:val="000243CA"/>
    <w:rsid w:val="00025EF2"/>
    <w:rsid w:val="0004357F"/>
    <w:rsid w:val="000450DD"/>
    <w:rsid w:val="00047F91"/>
    <w:rsid w:val="00056593"/>
    <w:rsid w:val="000626E1"/>
    <w:rsid w:val="000857FE"/>
    <w:rsid w:val="000A7936"/>
    <w:rsid w:val="000B25A4"/>
    <w:rsid w:val="000B3C17"/>
    <w:rsid w:val="000D4BA3"/>
    <w:rsid w:val="000E3854"/>
    <w:rsid w:val="00105A3F"/>
    <w:rsid w:val="00111F7F"/>
    <w:rsid w:val="001125AA"/>
    <w:rsid w:val="00114CD4"/>
    <w:rsid w:val="00156F35"/>
    <w:rsid w:val="00157FE1"/>
    <w:rsid w:val="00164D15"/>
    <w:rsid w:val="00165052"/>
    <w:rsid w:val="00175BF6"/>
    <w:rsid w:val="00182E3A"/>
    <w:rsid w:val="00187407"/>
    <w:rsid w:val="001E112E"/>
    <w:rsid w:val="00207115"/>
    <w:rsid w:val="002114B7"/>
    <w:rsid w:val="002270E2"/>
    <w:rsid w:val="00233B28"/>
    <w:rsid w:val="0023411E"/>
    <w:rsid w:val="0024325A"/>
    <w:rsid w:val="00244E13"/>
    <w:rsid w:val="00251641"/>
    <w:rsid w:val="00266D3C"/>
    <w:rsid w:val="00285892"/>
    <w:rsid w:val="002A1948"/>
    <w:rsid w:val="002B47FE"/>
    <w:rsid w:val="002D3F36"/>
    <w:rsid w:val="002D58C1"/>
    <w:rsid w:val="002E0294"/>
    <w:rsid w:val="002E1268"/>
    <w:rsid w:val="002E4450"/>
    <w:rsid w:val="002F6199"/>
    <w:rsid w:val="003333D0"/>
    <w:rsid w:val="003458C4"/>
    <w:rsid w:val="003460D5"/>
    <w:rsid w:val="00353F28"/>
    <w:rsid w:val="003610DB"/>
    <w:rsid w:val="00361968"/>
    <w:rsid w:val="0037096A"/>
    <w:rsid w:val="003905D6"/>
    <w:rsid w:val="003A56F6"/>
    <w:rsid w:val="003A616A"/>
    <w:rsid w:val="003B1A8D"/>
    <w:rsid w:val="003D2D8B"/>
    <w:rsid w:val="003F3D01"/>
    <w:rsid w:val="00405F95"/>
    <w:rsid w:val="0040691E"/>
    <w:rsid w:val="00411EF7"/>
    <w:rsid w:val="0042589F"/>
    <w:rsid w:val="00427121"/>
    <w:rsid w:val="00437F8B"/>
    <w:rsid w:val="00440BED"/>
    <w:rsid w:val="00446103"/>
    <w:rsid w:val="00457834"/>
    <w:rsid w:val="00467FFD"/>
    <w:rsid w:val="004738F6"/>
    <w:rsid w:val="00475691"/>
    <w:rsid w:val="00480E33"/>
    <w:rsid w:val="004844C3"/>
    <w:rsid w:val="004873D7"/>
    <w:rsid w:val="004951CE"/>
    <w:rsid w:val="004966E8"/>
    <w:rsid w:val="004B0A0D"/>
    <w:rsid w:val="004C5ABB"/>
    <w:rsid w:val="004E144B"/>
    <w:rsid w:val="004E403E"/>
    <w:rsid w:val="004F74F1"/>
    <w:rsid w:val="005218FD"/>
    <w:rsid w:val="00526F37"/>
    <w:rsid w:val="0053613C"/>
    <w:rsid w:val="00546809"/>
    <w:rsid w:val="00562749"/>
    <w:rsid w:val="00567ABA"/>
    <w:rsid w:val="00571150"/>
    <w:rsid w:val="005772AA"/>
    <w:rsid w:val="00594DB9"/>
    <w:rsid w:val="005A0F7B"/>
    <w:rsid w:val="005A1248"/>
    <w:rsid w:val="005A5E65"/>
    <w:rsid w:val="005B69E6"/>
    <w:rsid w:val="005C3353"/>
    <w:rsid w:val="005D0516"/>
    <w:rsid w:val="005D13A6"/>
    <w:rsid w:val="005E78EE"/>
    <w:rsid w:val="00611348"/>
    <w:rsid w:val="00625E17"/>
    <w:rsid w:val="006273E4"/>
    <w:rsid w:val="00630D07"/>
    <w:rsid w:val="00642E92"/>
    <w:rsid w:val="006440CA"/>
    <w:rsid w:val="006476DD"/>
    <w:rsid w:val="00651955"/>
    <w:rsid w:val="00654CFC"/>
    <w:rsid w:val="00676FEA"/>
    <w:rsid w:val="00692EA2"/>
    <w:rsid w:val="00694931"/>
    <w:rsid w:val="00695466"/>
    <w:rsid w:val="006962FD"/>
    <w:rsid w:val="006A0D20"/>
    <w:rsid w:val="006A38A7"/>
    <w:rsid w:val="006B4F57"/>
    <w:rsid w:val="006C444E"/>
    <w:rsid w:val="006D0443"/>
    <w:rsid w:val="006D75EC"/>
    <w:rsid w:val="006F36F4"/>
    <w:rsid w:val="007067C8"/>
    <w:rsid w:val="00715AD8"/>
    <w:rsid w:val="00722038"/>
    <w:rsid w:val="007223AD"/>
    <w:rsid w:val="00722D7C"/>
    <w:rsid w:val="00733D5D"/>
    <w:rsid w:val="007456F7"/>
    <w:rsid w:val="007527CA"/>
    <w:rsid w:val="00753660"/>
    <w:rsid w:val="00773577"/>
    <w:rsid w:val="007743AC"/>
    <w:rsid w:val="007751D4"/>
    <w:rsid w:val="0078013C"/>
    <w:rsid w:val="007808E2"/>
    <w:rsid w:val="00784026"/>
    <w:rsid w:val="00790B37"/>
    <w:rsid w:val="00792768"/>
    <w:rsid w:val="00792B65"/>
    <w:rsid w:val="007A3ADD"/>
    <w:rsid w:val="007A434D"/>
    <w:rsid w:val="007A67D8"/>
    <w:rsid w:val="007B38CF"/>
    <w:rsid w:val="007E6B4C"/>
    <w:rsid w:val="007E7B9B"/>
    <w:rsid w:val="007F4D88"/>
    <w:rsid w:val="008043D3"/>
    <w:rsid w:val="00811351"/>
    <w:rsid w:val="008169A8"/>
    <w:rsid w:val="00816D7F"/>
    <w:rsid w:val="00817FAA"/>
    <w:rsid w:val="008243EA"/>
    <w:rsid w:val="008318FD"/>
    <w:rsid w:val="00835265"/>
    <w:rsid w:val="008444A0"/>
    <w:rsid w:val="00852B85"/>
    <w:rsid w:val="00871C17"/>
    <w:rsid w:val="00876FDF"/>
    <w:rsid w:val="00880C9B"/>
    <w:rsid w:val="008816C3"/>
    <w:rsid w:val="00883B3C"/>
    <w:rsid w:val="00893C3C"/>
    <w:rsid w:val="00895209"/>
    <w:rsid w:val="008B4383"/>
    <w:rsid w:val="008C64ED"/>
    <w:rsid w:val="008D1131"/>
    <w:rsid w:val="008D2ACC"/>
    <w:rsid w:val="008D5850"/>
    <w:rsid w:val="008E14CB"/>
    <w:rsid w:val="008E1FD5"/>
    <w:rsid w:val="00907854"/>
    <w:rsid w:val="00910D0C"/>
    <w:rsid w:val="00912CC6"/>
    <w:rsid w:val="00913177"/>
    <w:rsid w:val="00921180"/>
    <w:rsid w:val="00926BD4"/>
    <w:rsid w:val="0093020F"/>
    <w:rsid w:val="00931B29"/>
    <w:rsid w:val="00937071"/>
    <w:rsid w:val="00956F6E"/>
    <w:rsid w:val="0095751B"/>
    <w:rsid w:val="00977430"/>
    <w:rsid w:val="00980E79"/>
    <w:rsid w:val="00982253"/>
    <w:rsid w:val="009A7BC4"/>
    <w:rsid w:val="009B4C7C"/>
    <w:rsid w:val="009C58D6"/>
    <w:rsid w:val="009C6B91"/>
    <w:rsid w:val="009D04DB"/>
    <w:rsid w:val="009E1CC9"/>
    <w:rsid w:val="00A0255B"/>
    <w:rsid w:val="00A30A91"/>
    <w:rsid w:val="00A51377"/>
    <w:rsid w:val="00A517E8"/>
    <w:rsid w:val="00A56247"/>
    <w:rsid w:val="00A71AFB"/>
    <w:rsid w:val="00A730C5"/>
    <w:rsid w:val="00A93E93"/>
    <w:rsid w:val="00AA74E0"/>
    <w:rsid w:val="00AC1D56"/>
    <w:rsid w:val="00AC3F9D"/>
    <w:rsid w:val="00AD050A"/>
    <w:rsid w:val="00AD40DF"/>
    <w:rsid w:val="00AE1EF9"/>
    <w:rsid w:val="00AE64E6"/>
    <w:rsid w:val="00AF4B2C"/>
    <w:rsid w:val="00B17D18"/>
    <w:rsid w:val="00B21942"/>
    <w:rsid w:val="00B2263B"/>
    <w:rsid w:val="00B40383"/>
    <w:rsid w:val="00B41A66"/>
    <w:rsid w:val="00B41A6A"/>
    <w:rsid w:val="00B45FD6"/>
    <w:rsid w:val="00B46E7F"/>
    <w:rsid w:val="00B56A06"/>
    <w:rsid w:val="00B5731E"/>
    <w:rsid w:val="00B61876"/>
    <w:rsid w:val="00B6329E"/>
    <w:rsid w:val="00B84D30"/>
    <w:rsid w:val="00B9305D"/>
    <w:rsid w:val="00B97114"/>
    <w:rsid w:val="00BA5475"/>
    <w:rsid w:val="00BB1DF0"/>
    <w:rsid w:val="00BC59FD"/>
    <w:rsid w:val="00BD5397"/>
    <w:rsid w:val="00BD5E75"/>
    <w:rsid w:val="00BE04C6"/>
    <w:rsid w:val="00BE53CF"/>
    <w:rsid w:val="00BF55CB"/>
    <w:rsid w:val="00BF79F1"/>
    <w:rsid w:val="00C0481B"/>
    <w:rsid w:val="00C057A2"/>
    <w:rsid w:val="00C05A46"/>
    <w:rsid w:val="00C06613"/>
    <w:rsid w:val="00C109E8"/>
    <w:rsid w:val="00C12F5B"/>
    <w:rsid w:val="00C201D5"/>
    <w:rsid w:val="00C22675"/>
    <w:rsid w:val="00C260D6"/>
    <w:rsid w:val="00C44540"/>
    <w:rsid w:val="00C4476E"/>
    <w:rsid w:val="00C44CFB"/>
    <w:rsid w:val="00C506BD"/>
    <w:rsid w:val="00C7539C"/>
    <w:rsid w:val="00C81B79"/>
    <w:rsid w:val="00C82BF5"/>
    <w:rsid w:val="00C91CED"/>
    <w:rsid w:val="00C96B0C"/>
    <w:rsid w:val="00CA2BF3"/>
    <w:rsid w:val="00CA4060"/>
    <w:rsid w:val="00CB5BD3"/>
    <w:rsid w:val="00CC6D78"/>
    <w:rsid w:val="00CD04B4"/>
    <w:rsid w:val="00CD2A3E"/>
    <w:rsid w:val="00CF2A4B"/>
    <w:rsid w:val="00CF6CDB"/>
    <w:rsid w:val="00D007CB"/>
    <w:rsid w:val="00D10E39"/>
    <w:rsid w:val="00D2313E"/>
    <w:rsid w:val="00D23AF5"/>
    <w:rsid w:val="00D32E97"/>
    <w:rsid w:val="00D45A13"/>
    <w:rsid w:val="00D627EE"/>
    <w:rsid w:val="00D7215D"/>
    <w:rsid w:val="00D91D6F"/>
    <w:rsid w:val="00D97D3B"/>
    <w:rsid w:val="00DA3CC1"/>
    <w:rsid w:val="00DA5720"/>
    <w:rsid w:val="00DB5AEE"/>
    <w:rsid w:val="00DC0660"/>
    <w:rsid w:val="00DC24C1"/>
    <w:rsid w:val="00DC51AB"/>
    <w:rsid w:val="00DC51C4"/>
    <w:rsid w:val="00DC6E2D"/>
    <w:rsid w:val="00DD5E41"/>
    <w:rsid w:val="00DE04F5"/>
    <w:rsid w:val="00E0760D"/>
    <w:rsid w:val="00E2141F"/>
    <w:rsid w:val="00E22AC6"/>
    <w:rsid w:val="00E33B4C"/>
    <w:rsid w:val="00E3548E"/>
    <w:rsid w:val="00E35EB7"/>
    <w:rsid w:val="00E5545F"/>
    <w:rsid w:val="00E56A3E"/>
    <w:rsid w:val="00E6315B"/>
    <w:rsid w:val="00E64F8B"/>
    <w:rsid w:val="00E7092B"/>
    <w:rsid w:val="00E70B78"/>
    <w:rsid w:val="00E73795"/>
    <w:rsid w:val="00E74183"/>
    <w:rsid w:val="00E757AF"/>
    <w:rsid w:val="00E77A70"/>
    <w:rsid w:val="00E86A0F"/>
    <w:rsid w:val="00E95353"/>
    <w:rsid w:val="00EB269F"/>
    <w:rsid w:val="00EB73AB"/>
    <w:rsid w:val="00ED58DB"/>
    <w:rsid w:val="00EE6333"/>
    <w:rsid w:val="00EF6CA2"/>
    <w:rsid w:val="00F07558"/>
    <w:rsid w:val="00F20C54"/>
    <w:rsid w:val="00F23E26"/>
    <w:rsid w:val="00F2463D"/>
    <w:rsid w:val="00F2691C"/>
    <w:rsid w:val="00F27FDB"/>
    <w:rsid w:val="00F33DAA"/>
    <w:rsid w:val="00F34050"/>
    <w:rsid w:val="00F40F0F"/>
    <w:rsid w:val="00F43ACD"/>
    <w:rsid w:val="00F44270"/>
    <w:rsid w:val="00F44971"/>
    <w:rsid w:val="00F45B8A"/>
    <w:rsid w:val="00F556D4"/>
    <w:rsid w:val="00F57B96"/>
    <w:rsid w:val="00F736B8"/>
    <w:rsid w:val="00F75FB0"/>
    <w:rsid w:val="00F9025F"/>
    <w:rsid w:val="00F97763"/>
    <w:rsid w:val="00FB3900"/>
    <w:rsid w:val="00FB46D1"/>
    <w:rsid w:val="00FC7484"/>
    <w:rsid w:val="00FE4A35"/>
    <w:rsid w:val="00FE606E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33B4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B4C"/>
  </w:style>
  <w:style w:type="paragraph" w:styleId="Piedepgina">
    <w:name w:val="footer"/>
    <w:basedOn w:val="Normal"/>
    <w:link w:val="PiedepginaCar"/>
    <w:uiPriority w:val="99"/>
    <w:unhideWhenUsed/>
    <w:rsid w:val="00E33B4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B4C"/>
  </w:style>
  <w:style w:type="table" w:styleId="Sombreadoclaro-nfasis1">
    <w:name w:val="Light Shading Accent 1"/>
    <w:basedOn w:val="Tablanormal"/>
    <w:uiPriority w:val="60"/>
    <w:rsid w:val="00F2691C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5">
    <w:name w:val="Light Shading Accent 5"/>
    <w:basedOn w:val="Tablanormal"/>
    <w:uiPriority w:val="60"/>
    <w:rsid w:val="00F2691C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4844C3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44C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844C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E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E97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21"/>
    <w:qFormat/>
    <w:rsid w:val="00FB3900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33B4C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B4C"/>
  </w:style>
  <w:style w:type="paragraph" w:styleId="Piedepgina">
    <w:name w:val="footer"/>
    <w:basedOn w:val="Normal"/>
    <w:link w:val="PiedepginaCar"/>
    <w:uiPriority w:val="99"/>
    <w:unhideWhenUsed/>
    <w:rsid w:val="00E33B4C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B4C"/>
  </w:style>
  <w:style w:type="table" w:styleId="Sombreadoclaro-nfasis1">
    <w:name w:val="Light Shading Accent 1"/>
    <w:basedOn w:val="Tablanormal"/>
    <w:uiPriority w:val="60"/>
    <w:rsid w:val="00F2691C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5">
    <w:name w:val="Light Shading Accent 5"/>
    <w:basedOn w:val="Tablanormal"/>
    <w:uiPriority w:val="60"/>
    <w:rsid w:val="00F2691C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4844C3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844C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844C3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2E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2E97"/>
    <w:rPr>
      <w:rFonts w:ascii="Tahoma" w:hAnsi="Tahoma" w:cs="Tahoma"/>
      <w:sz w:val="16"/>
      <w:szCs w:val="16"/>
    </w:rPr>
  </w:style>
  <w:style w:type="character" w:styleId="nfasisintenso">
    <w:name w:val="Intense Emphasis"/>
    <w:basedOn w:val="Fuentedeprrafopredeter"/>
    <w:uiPriority w:val="21"/>
    <w:qFormat/>
    <w:rsid w:val="00FB3900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95DB-6811-472C-A332-7D5E67854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1732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Gerardo Bongiovanni</cp:lastModifiedBy>
  <cp:revision>2</cp:revision>
  <dcterms:created xsi:type="dcterms:W3CDTF">2020-08-20T00:20:00Z</dcterms:created>
  <dcterms:modified xsi:type="dcterms:W3CDTF">2020-08-20T00:20:00Z</dcterms:modified>
</cp:coreProperties>
</file>